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28A4" w14:textId="23232B95" w:rsidR="00AC6B4E" w:rsidRPr="005D13CB" w:rsidRDefault="007B1769" w:rsidP="00AC6B4E">
      <w:pPr>
        <w:pStyle w:val="BodyText"/>
        <w:pBdr>
          <w:bottom w:val="single" w:sz="12" w:space="1" w:color="auto"/>
        </w:pBdr>
        <w:tabs>
          <w:tab w:val="left" w:pos="0"/>
          <w:tab w:val="left" w:pos="675"/>
          <w:tab w:val="left" w:pos="1080"/>
          <w:tab w:val="center" w:pos="4802"/>
        </w:tabs>
        <w:jc w:val="center"/>
        <w:rPr>
          <w:rFonts w:eastAsia="MS Mincho"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74BC687" wp14:editId="4CA5DF0D">
            <wp:extent cx="6480810" cy="1227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5F36E7" w:rsidRPr="005D13CB" w14:paraId="22C92D6A" w14:textId="77777777" w:rsidTr="002F7E87">
        <w:tc>
          <w:tcPr>
            <w:tcW w:w="5353" w:type="dxa"/>
          </w:tcPr>
          <w:p w14:paraId="2EED9BA3" w14:textId="77777777" w:rsidR="006F39D8" w:rsidRPr="005D13CB" w:rsidRDefault="006F39D8" w:rsidP="005F36E7">
            <w:pPr>
              <w:jc w:val="both"/>
              <w:rPr>
                <w:rFonts w:ascii="Arial" w:hAnsi="Arial" w:cs="Arial"/>
              </w:rPr>
            </w:pPr>
          </w:p>
          <w:p w14:paraId="19143C8B" w14:textId="5E77A479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To,</w:t>
            </w:r>
          </w:p>
          <w:p w14:paraId="38636220" w14:textId="0D85BA47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 xml:space="preserve">Name of </w:t>
            </w:r>
            <w:r w:rsidR="00D95CE9">
              <w:rPr>
                <w:rFonts w:ascii="Arial" w:hAnsi="Arial" w:cs="Arial"/>
              </w:rPr>
              <w:t xml:space="preserve">the </w:t>
            </w:r>
            <w:r w:rsidRPr="005D13CB">
              <w:rPr>
                <w:rFonts w:ascii="Arial" w:hAnsi="Arial" w:cs="Arial"/>
              </w:rPr>
              <w:t>Shareholder</w:t>
            </w:r>
          </w:p>
          <w:p w14:paraId="57B834B6" w14:textId="77777777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Address</w:t>
            </w:r>
          </w:p>
        </w:tc>
        <w:tc>
          <w:tcPr>
            <w:tcW w:w="4961" w:type="dxa"/>
          </w:tcPr>
          <w:p w14:paraId="67E536FB" w14:textId="77777777" w:rsidR="006F39D8" w:rsidRPr="005D13CB" w:rsidRDefault="006F39D8" w:rsidP="005F36E7">
            <w:pPr>
              <w:jc w:val="both"/>
              <w:rPr>
                <w:rFonts w:ascii="Arial" w:hAnsi="Arial" w:cs="Arial"/>
              </w:rPr>
            </w:pPr>
          </w:p>
          <w:p w14:paraId="50CB0C6C" w14:textId="27F709FC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Date:</w:t>
            </w:r>
            <w:r w:rsidR="001A6A1A">
              <w:rPr>
                <w:rFonts w:ascii="Arial" w:hAnsi="Arial" w:cs="Arial"/>
              </w:rPr>
              <w:t xml:space="preserve"> </w:t>
            </w:r>
            <w:r w:rsidR="001A6A1A" w:rsidRPr="001A6A1A">
              <w:rPr>
                <w:rFonts w:ascii="Arial" w:hAnsi="Arial" w:cs="Arial"/>
                <w:highlight w:val="yellow"/>
              </w:rPr>
              <w:t>14-0</w:t>
            </w:r>
            <w:r w:rsidR="007B1769">
              <w:rPr>
                <w:rFonts w:ascii="Arial" w:hAnsi="Arial" w:cs="Arial"/>
                <w:highlight w:val="yellow"/>
              </w:rPr>
              <w:t>5</w:t>
            </w:r>
            <w:r w:rsidR="001A6A1A" w:rsidRPr="001A6A1A">
              <w:rPr>
                <w:rFonts w:ascii="Arial" w:hAnsi="Arial" w:cs="Arial"/>
                <w:highlight w:val="yellow"/>
              </w:rPr>
              <w:t>-2026</w:t>
            </w:r>
          </w:p>
          <w:p w14:paraId="18A87111" w14:textId="77777777" w:rsidR="005F36E7" w:rsidRPr="005D13CB" w:rsidRDefault="005F36E7" w:rsidP="005F36E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IN"/>
              </w:rPr>
            </w:pPr>
            <w:r w:rsidRPr="005D13CB">
              <w:rPr>
                <w:rFonts w:ascii="Arial" w:hAnsi="Arial" w:cs="Arial"/>
                <w:color w:val="auto"/>
                <w:sz w:val="22"/>
                <w:szCs w:val="22"/>
                <w:lang w:eastAsia="en-IN"/>
              </w:rPr>
              <w:t xml:space="preserve">Ref. No </w:t>
            </w:r>
          </w:p>
          <w:p w14:paraId="110646E3" w14:textId="77777777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Folio No./DP-CLID:</w:t>
            </w:r>
          </w:p>
          <w:p w14:paraId="38DA1E4C" w14:textId="77777777" w:rsidR="005F36E7" w:rsidRPr="005D13CB" w:rsidRDefault="005F36E7" w:rsidP="005F36E7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Shares</w:t>
            </w:r>
          </w:p>
        </w:tc>
      </w:tr>
    </w:tbl>
    <w:p w14:paraId="1AE01340" w14:textId="77777777" w:rsidR="005F36E7" w:rsidRPr="005D13CB" w:rsidRDefault="005F36E7" w:rsidP="005F36E7">
      <w:pPr>
        <w:jc w:val="both"/>
        <w:rPr>
          <w:rFonts w:ascii="Arial" w:hAnsi="Arial" w:cs="Arial"/>
        </w:rPr>
      </w:pPr>
    </w:p>
    <w:p w14:paraId="214F4CA1" w14:textId="3B1099F6" w:rsidR="005F36E7" w:rsidRPr="005D13CB" w:rsidRDefault="005F36E7" w:rsidP="005F36E7">
      <w:pPr>
        <w:jc w:val="both"/>
        <w:rPr>
          <w:rFonts w:ascii="Arial" w:hAnsi="Arial" w:cs="Arial"/>
        </w:rPr>
      </w:pPr>
      <w:r w:rsidRPr="005D13CB">
        <w:rPr>
          <w:rFonts w:ascii="Arial" w:hAnsi="Arial" w:cs="Arial"/>
        </w:rPr>
        <w:t>Dear Shareholder</w:t>
      </w:r>
      <w:r w:rsidR="00435B10">
        <w:rPr>
          <w:rFonts w:ascii="Arial" w:hAnsi="Arial" w:cs="Arial"/>
        </w:rPr>
        <w:t>(s)</w:t>
      </w:r>
      <w:r w:rsidRPr="005D13CB">
        <w:rPr>
          <w:rFonts w:ascii="Arial" w:hAnsi="Arial" w:cs="Arial"/>
        </w:rPr>
        <w:t>,</w:t>
      </w:r>
    </w:p>
    <w:p w14:paraId="7A3B6FD0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</w:rPr>
      </w:pPr>
    </w:p>
    <w:p w14:paraId="553D68A9" w14:textId="4DCC8F58" w:rsidR="005F36E7" w:rsidRPr="005D13CB" w:rsidRDefault="005F36E7" w:rsidP="003C0C6A">
      <w:pPr>
        <w:ind w:left="567" w:hanging="567"/>
        <w:jc w:val="both"/>
        <w:rPr>
          <w:rFonts w:ascii="Arial" w:hAnsi="Arial" w:cs="Arial"/>
          <w:b/>
          <w:lang w:val="en-US"/>
        </w:rPr>
      </w:pPr>
      <w:r w:rsidRPr="005D13CB">
        <w:rPr>
          <w:rFonts w:ascii="Arial" w:hAnsi="Arial" w:cs="Arial"/>
          <w:b/>
          <w:lang w:val="en-US"/>
        </w:rPr>
        <w:t xml:space="preserve">Sub: </w:t>
      </w:r>
      <w:r w:rsidR="000457BD" w:rsidRPr="00B46540">
        <w:rPr>
          <w:rFonts w:ascii="Arial" w:hAnsi="Arial" w:cs="Arial"/>
          <w:b/>
          <w:u w:val="single"/>
          <w:lang w:val="en-US"/>
        </w:rPr>
        <w:t xml:space="preserve">Second </w:t>
      </w:r>
      <w:r w:rsidR="009C7666" w:rsidRPr="00B46540">
        <w:rPr>
          <w:rFonts w:ascii="Arial" w:hAnsi="Arial" w:cs="Arial"/>
          <w:b/>
          <w:u w:val="single"/>
          <w:lang w:val="en-US"/>
        </w:rPr>
        <w:t>1</w:t>
      </w:r>
      <w:r w:rsidR="009C7666" w:rsidRPr="009C7666">
        <w:rPr>
          <w:rFonts w:ascii="Arial" w:hAnsi="Arial" w:cs="Arial"/>
          <w:b/>
          <w:u w:val="single"/>
          <w:lang w:val="en-US"/>
        </w:rPr>
        <w:t xml:space="preserve">00 days Campaign </w:t>
      </w:r>
      <w:r w:rsidR="002305E8" w:rsidRPr="009C7666">
        <w:rPr>
          <w:rFonts w:ascii="Arial" w:hAnsi="Arial" w:cs="Arial"/>
          <w:b/>
          <w:u w:val="single"/>
          <w:lang w:val="en-US"/>
        </w:rPr>
        <w:t>“</w:t>
      </w:r>
      <w:r w:rsidRPr="003C0C6A">
        <w:rPr>
          <w:rFonts w:ascii="Arial" w:hAnsi="Arial" w:cs="Arial"/>
          <w:b/>
          <w:u w:val="single"/>
          <w:lang w:val="en-US"/>
        </w:rPr>
        <w:t xml:space="preserve">Saksham </w:t>
      </w:r>
      <w:proofErr w:type="spellStart"/>
      <w:r w:rsidRPr="003C0C6A">
        <w:rPr>
          <w:rFonts w:ascii="Arial" w:hAnsi="Arial" w:cs="Arial"/>
          <w:b/>
          <w:u w:val="single"/>
          <w:lang w:val="en-US"/>
        </w:rPr>
        <w:t>Niveshak</w:t>
      </w:r>
      <w:proofErr w:type="spellEnd"/>
      <w:r w:rsidR="002305E8" w:rsidRPr="003C0C6A">
        <w:rPr>
          <w:rFonts w:ascii="Arial" w:hAnsi="Arial" w:cs="Arial"/>
          <w:b/>
          <w:u w:val="single"/>
          <w:lang w:val="en-US"/>
        </w:rPr>
        <w:t>”</w:t>
      </w:r>
      <w:r w:rsidRPr="003C0C6A">
        <w:rPr>
          <w:rFonts w:ascii="Arial" w:hAnsi="Arial" w:cs="Arial"/>
          <w:b/>
          <w:u w:val="single"/>
          <w:lang w:val="en-US"/>
        </w:rPr>
        <w:t xml:space="preserve"> for </w:t>
      </w:r>
      <w:proofErr w:type="spellStart"/>
      <w:r w:rsidR="00743963">
        <w:rPr>
          <w:rFonts w:ascii="Arial" w:hAnsi="Arial" w:cs="Arial"/>
          <w:b/>
          <w:u w:val="single"/>
          <w:lang w:val="en-US"/>
        </w:rPr>
        <w:t>updation</w:t>
      </w:r>
      <w:proofErr w:type="spellEnd"/>
      <w:r w:rsidR="00743963">
        <w:rPr>
          <w:rFonts w:ascii="Arial" w:hAnsi="Arial" w:cs="Arial"/>
          <w:b/>
          <w:u w:val="single"/>
          <w:lang w:val="en-US"/>
        </w:rPr>
        <w:t xml:space="preserve"> of </w:t>
      </w:r>
      <w:r w:rsidRPr="003C0C6A">
        <w:rPr>
          <w:rFonts w:ascii="Arial" w:hAnsi="Arial" w:cs="Arial"/>
          <w:b/>
          <w:u w:val="single"/>
          <w:lang w:val="en-US"/>
        </w:rPr>
        <w:t xml:space="preserve">KYC and other related </w:t>
      </w:r>
      <w:r w:rsidR="00FE5899">
        <w:rPr>
          <w:rFonts w:ascii="Arial" w:hAnsi="Arial" w:cs="Arial"/>
          <w:b/>
          <w:u w:val="single"/>
          <w:lang w:val="en-US"/>
        </w:rPr>
        <w:t xml:space="preserve">information </w:t>
      </w:r>
      <w:r w:rsidRPr="003C0C6A">
        <w:rPr>
          <w:rFonts w:ascii="Arial" w:hAnsi="Arial" w:cs="Arial"/>
          <w:b/>
          <w:u w:val="single"/>
          <w:lang w:val="en-US"/>
        </w:rPr>
        <w:t xml:space="preserve">and </w:t>
      </w:r>
      <w:r w:rsidR="0044174B" w:rsidRPr="003C0C6A">
        <w:rPr>
          <w:rFonts w:ascii="Arial" w:hAnsi="Arial" w:cs="Arial"/>
          <w:b/>
          <w:u w:val="single"/>
          <w:lang w:val="en-US"/>
        </w:rPr>
        <w:t>Shareholder</w:t>
      </w:r>
      <w:r w:rsidR="00FE5899">
        <w:rPr>
          <w:rFonts w:ascii="Arial" w:hAnsi="Arial" w:cs="Arial"/>
          <w:b/>
          <w:u w:val="single"/>
          <w:lang w:val="en-US"/>
        </w:rPr>
        <w:t>s</w:t>
      </w:r>
      <w:r w:rsidR="0044174B" w:rsidRPr="003C0C6A">
        <w:rPr>
          <w:rFonts w:ascii="Arial" w:hAnsi="Arial" w:cs="Arial"/>
          <w:b/>
          <w:u w:val="single"/>
          <w:lang w:val="en-US"/>
        </w:rPr>
        <w:t xml:space="preserve"> Engagement </w:t>
      </w:r>
      <w:r w:rsidRPr="003C0C6A">
        <w:rPr>
          <w:rFonts w:ascii="Arial" w:hAnsi="Arial" w:cs="Arial"/>
          <w:b/>
          <w:u w:val="single"/>
          <w:lang w:val="en-US"/>
        </w:rPr>
        <w:t>to prevent transfer of unpaid</w:t>
      </w:r>
      <w:r w:rsidR="00B404BE">
        <w:rPr>
          <w:rFonts w:ascii="Arial" w:hAnsi="Arial" w:cs="Arial"/>
          <w:b/>
          <w:u w:val="single"/>
          <w:lang w:val="en-US"/>
        </w:rPr>
        <w:t xml:space="preserve"> </w:t>
      </w:r>
      <w:r w:rsidRPr="003C0C6A">
        <w:rPr>
          <w:rFonts w:ascii="Arial" w:hAnsi="Arial" w:cs="Arial"/>
          <w:b/>
          <w:u w:val="single"/>
          <w:lang w:val="en-US"/>
        </w:rPr>
        <w:t>/</w:t>
      </w:r>
      <w:r w:rsidR="00B404BE">
        <w:rPr>
          <w:rFonts w:ascii="Arial" w:hAnsi="Arial" w:cs="Arial"/>
          <w:b/>
          <w:u w:val="single"/>
          <w:lang w:val="en-US"/>
        </w:rPr>
        <w:t xml:space="preserve"> </w:t>
      </w:r>
      <w:r w:rsidRPr="003C0C6A">
        <w:rPr>
          <w:rFonts w:ascii="Arial" w:hAnsi="Arial" w:cs="Arial"/>
          <w:b/>
          <w:u w:val="single"/>
          <w:lang w:val="en-US"/>
        </w:rPr>
        <w:t xml:space="preserve">unclaimed dividends </w:t>
      </w:r>
      <w:r w:rsidR="003D3025">
        <w:rPr>
          <w:rFonts w:ascii="Arial" w:hAnsi="Arial" w:cs="Arial"/>
          <w:b/>
          <w:u w:val="single"/>
          <w:lang w:val="en-US"/>
        </w:rPr>
        <w:t xml:space="preserve">/ Fractional Entitlement </w:t>
      </w:r>
      <w:r w:rsidR="00B404BE">
        <w:rPr>
          <w:rFonts w:ascii="Arial" w:hAnsi="Arial" w:cs="Arial"/>
          <w:b/>
          <w:u w:val="single"/>
          <w:lang w:val="en-US"/>
        </w:rPr>
        <w:t xml:space="preserve">amounts </w:t>
      </w:r>
      <w:r w:rsidRPr="003C0C6A">
        <w:rPr>
          <w:rFonts w:ascii="Arial" w:hAnsi="Arial" w:cs="Arial"/>
          <w:b/>
          <w:u w:val="single"/>
          <w:lang w:val="en-US"/>
        </w:rPr>
        <w:t xml:space="preserve">to </w:t>
      </w:r>
      <w:r w:rsidR="00B404BE">
        <w:rPr>
          <w:rFonts w:ascii="Arial" w:hAnsi="Arial" w:cs="Arial"/>
          <w:b/>
          <w:u w:val="single"/>
          <w:lang w:val="en-US"/>
        </w:rPr>
        <w:t xml:space="preserve">the </w:t>
      </w:r>
      <w:r w:rsidRPr="003C0C6A">
        <w:rPr>
          <w:rFonts w:ascii="Arial" w:hAnsi="Arial" w:cs="Arial"/>
          <w:b/>
          <w:u w:val="single"/>
          <w:lang w:val="en-US"/>
        </w:rPr>
        <w:t xml:space="preserve">Investor </w:t>
      </w:r>
      <w:r w:rsidR="001B7EBD">
        <w:rPr>
          <w:rFonts w:ascii="Arial" w:hAnsi="Arial" w:cs="Arial"/>
          <w:b/>
          <w:u w:val="single"/>
          <w:lang w:val="en-US"/>
        </w:rPr>
        <w:t>Education and Protection Fund (“</w:t>
      </w:r>
      <w:r w:rsidRPr="003C0C6A">
        <w:rPr>
          <w:rFonts w:ascii="Arial" w:hAnsi="Arial" w:cs="Arial"/>
          <w:b/>
          <w:u w:val="single"/>
          <w:lang w:val="en-US"/>
        </w:rPr>
        <w:t>IEPF</w:t>
      </w:r>
      <w:r w:rsidR="001B7EBD">
        <w:rPr>
          <w:rFonts w:ascii="Arial" w:hAnsi="Arial" w:cs="Arial"/>
          <w:b/>
          <w:u w:val="single"/>
          <w:lang w:val="en-US"/>
        </w:rPr>
        <w:t>”</w:t>
      </w:r>
      <w:r w:rsidRPr="003C0C6A">
        <w:rPr>
          <w:rFonts w:ascii="Arial" w:hAnsi="Arial" w:cs="Arial"/>
          <w:b/>
          <w:u w:val="single"/>
          <w:lang w:val="en-US"/>
        </w:rPr>
        <w:t>)</w:t>
      </w:r>
    </w:p>
    <w:p w14:paraId="2FE4FD07" w14:textId="77777777" w:rsidR="005F36E7" w:rsidRPr="00BF4CF4" w:rsidRDefault="005F36E7" w:rsidP="005F36E7">
      <w:pPr>
        <w:rPr>
          <w:rFonts w:ascii="Arial" w:hAnsi="Arial" w:cs="Arial"/>
          <w:sz w:val="14"/>
          <w:szCs w:val="14"/>
          <w:lang w:val="en-US"/>
        </w:rPr>
      </w:pPr>
    </w:p>
    <w:p w14:paraId="7ECBC304" w14:textId="4FD0C671" w:rsidR="005F36E7" w:rsidRPr="005D13CB" w:rsidRDefault="00AD1C06" w:rsidP="009E3FD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would like </w:t>
      </w:r>
      <w:r w:rsidR="005F36E7" w:rsidRPr="005D13CB">
        <w:rPr>
          <w:rFonts w:ascii="Arial" w:hAnsi="Arial" w:cs="Arial"/>
          <w:lang w:val="en-US"/>
        </w:rPr>
        <w:t>to inform you that pursuant to the provisions of Section 124(2), 124(5) and 124(6) of the Companies Act, 2013 (‘</w:t>
      </w:r>
      <w:r w:rsidR="005F36E7" w:rsidRPr="005D13CB">
        <w:rPr>
          <w:rFonts w:ascii="Arial" w:hAnsi="Arial" w:cs="Arial"/>
          <w:b/>
          <w:lang w:val="en-US"/>
        </w:rPr>
        <w:t>the Act</w:t>
      </w:r>
      <w:r w:rsidR="005F36E7" w:rsidRPr="005D13CB">
        <w:rPr>
          <w:rFonts w:ascii="Arial" w:hAnsi="Arial" w:cs="Arial"/>
          <w:lang w:val="en-US"/>
        </w:rPr>
        <w:t>’) read with the Investor Education and Protection Fund Authority (Accounting, Audit, Transfer and Refund) Rules, 2016, as amended (‘</w:t>
      </w:r>
      <w:r w:rsidR="005F36E7" w:rsidRPr="005D13CB">
        <w:rPr>
          <w:rFonts w:ascii="Arial" w:hAnsi="Arial" w:cs="Arial"/>
          <w:b/>
          <w:lang w:val="en-US"/>
        </w:rPr>
        <w:t>the Rules</w:t>
      </w:r>
      <w:r w:rsidR="005F36E7" w:rsidRPr="005D13CB">
        <w:rPr>
          <w:rFonts w:ascii="Arial" w:hAnsi="Arial" w:cs="Arial"/>
          <w:lang w:val="en-US"/>
        </w:rPr>
        <w:t>’), and in addition to above, SEBI’s clarifications regarding processing investor requests and updating KYC details through its various circulars including SEBI</w:t>
      </w:r>
      <w:r w:rsidR="00A2780A">
        <w:rPr>
          <w:rFonts w:ascii="Arial" w:hAnsi="Arial" w:cs="Arial"/>
          <w:lang w:val="en-US"/>
        </w:rPr>
        <w:t>’s</w:t>
      </w:r>
      <w:r w:rsidR="005F36E7" w:rsidRPr="005D13CB">
        <w:rPr>
          <w:rFonts w:ascii="Arial" w:hAnsi="Arial" w:cs="Arial"/>
          <w:lang w:val="en-US"/>
        </w:rPr>
        <w:t xml:space="preserve"> Master Circular </w:t>
      </w:r>
      <w:proofErr w:type="spellStart"/>
      <w:r w:rsidR="005F36E7" w:rsidRPr="005D13CB">
        <w:rPr>
          <w:rFonts w:ascii="Arial" w:hAnsi="Arial" w:cs="Arial"/>
          <w:lang w:val="en-US"/>
        </w:rPr>
        <w:t>No.</w:t>
      </w:r>
      <w:r w:rsidR="00A94E36" w:rsidRPr="00A94E36">
        <w:rPr>
          <w:rFonts w:ascii="Arial" w:hAnsi="Arial" w:cs="Arial"/>
          <w:lang w:val="en-US"/>
        </w:rPr>
        <w:t>HO</w:t>
      </w:r>
      <w:proofErr w:type="spellEnd"/>
      <w:r w:rsidR="00A94E36" w:rsidRPr="00A94E36">
        <w:rPr>
          <w:rFonts w:ascii="Arial" w:hAnsi="Arial" w:cs="Arial"/>
          <w:lang w:val="en-US"/>
        </w:rPr>
        <w:t>/38/13/(4)2026-MIRSD-POD/I/4298/2026</w:t>
      </w:r>
      <w:r w:rsidR="005F36E7" w:rsidRPr="005D13CB">
        <w:rPr>
          <w:rFonts w:ascii="Arial" w:hAnsi="Arial" w:cs="Arial"/>
          <w:lang w:val="en-US"/>
        </w:rPr>
        <w:t xml:space="preserve"> dated </w:t>
      </w:r>
      <w:r w:rsidR="00B60306" w:rsidRPr="00B60306">
        <w:rPr>
          <w:rFonts w:ascii="Arial" w:hAnsi="Arial" w:cs="Arial"/>
          <w:lang w:val="en-US"/>
        </w:rPr>
        <w:t>February 06, 2026</w:t>
      </w:r>
      <w:r w:rsidR="005F36E7" w:rsidRPr="005D13CB">
        <w:rPr>
          <w:rFonts w:ascii="Arial" w:hAnsi="Arial" w:cs="Arial"/>
          <w:lang w:val="en-US"/>
        </w:rPr>
        <w:t xml:space="preserve">, as amended, and in line with the objectives of the </w:t>
      </w:r>
      <w:proofErr w:type="spellStart"/>
      <w:r w:rsidR="005F36E7" w:rsidRPr="005D13CB">
        <w:rPr>
          <w:rFonts w:ascii="Arial" w:hAnsi="Arial" w:cs="Arial"/>
          <w:lang w:val="en-US"/>
        </w:rPr>
        <w:t>Niveshak</w:t>
      </w:r>
      <w:proofErr w:type="spellEnd"/>
      <w:r w:rsidR="005F36E7" w:rsidRPr="005D13CB">
        <w:rPr>
          <w:rFonts w:ascii="Arial" w:hAnsi="Arial" w:cs="Arial"/>
          <w:lang w:val="en-US"/>
        </w:rPr>
        <w:t xml:space="preserve"> </w:t>
      </w:r>
      <w:proofErr w:type="spellStart"/>
      <w:r w:rsidR="005F36E7" w:rsidRPr="005D13CB">
        <w:rPr>
          <w:rFonts w:ascii="Arial" w:hAnsi="Arial" w:cs="Arial"/>
          <w:lang w:val="en-US"/>
        </w:rPr>
        <w:t>Shivir</w:t>
      </w:r>
      <w:proofErr w:type="spellEnd"/>
      <w:r w:rsidR="005F36E7" w:rsidRPr="005D13CB">
        <w:rPr>
          <w:rFonts w:ascii="Arial" w:hAnsi="Arial" w:cs="Arial"/>
          <w:lang w:val="en-US"/>
        </w:rPr>
        <w:t xml:space="preserve"> and IEPF Authority’s broader drive for investor education and facilitation, </w:t>
      </w:r>
      <w:r w:rsidR="00206924">
        <w:rPr>
          <w:rFonts w:ascii="Arial" w:hAnsi="Arial" w:cs="Arial"/>
          <w:lang w:val="en-US"/>
        </w:rPr>
        <w:t xml:space="preserve">the </w:t>
      </w:r>
      <w:r w:rsidR="005F36E7" w:rsidRPr="005D13CB">
        <w:rPr>
          <w:rFonts w:ascii="Arial" w:hAnsi="Arial" w:cs="Arial"/>
          <w:lang w:val="en-US"/>
        </w:rPr>
        <w:t>IEPF Authority has launched a</w:t>
      </w:r>
      <w:r w:rsidR="003F541F">
        <w:rPr>
          <w:rFonts w:ascii="Arial" w:hAnsi="Arial" w:cs="Arial"/>
          <w:lang w:val="en-US"/>
        </w:rPr>
        <w:t xml:space="preserve"> </w:t>
      </w:r>
      <w:r w:rsidR="003F541F" w:rsidRPr="003F541F">
        <w:rPr>
          <w:rFonts w:ascii="Arial" w:hAnsi="Arial" w:cs="Arial"/>
          <w:b/>
          <w:lang w:val="en-US"/>
        </w:rPr>
        <w:t>Second</w:t>
      </w:r>
      <w:r w:rsidR="003F541F">
        <w:rPr>
          <w:rFonts w:ascii="Arial" w:hAnsi="Arial" w:cs="Arial"/>
          <w:lang w:val="en-US"/>
        </w:rPr>
        <w:t xml:space="preserve"> </w:t>
      </w:r>
      <w:r w:rsidR="005F36E7" w:rsidRPr="005D13CB">
        <w:rPr>
          <w:rFonts w:ascii="Arial" w:hAnsi="Arial" w:cs="Arial"/>
          <w:b/>
          <w:lang w:val="en-US"/>
        </w:rPr>
        <w:t xml:space="preserve">100 days Campaign – “Saksham </w:t>
      </w:r>
      <w:proofErr w:type="spellStart"/>
      <w:r w:rsidR="005F36E7" w:rsidRPr="005D13CB">
        <w:rPr>
          <w:rFonts w:ascii="Arial" w:hAnsi="Arial" w:cs="Arial"/>
          <w:b/>
          <w:lang w:val="en-US"/>
        </w:rPr>
        <w:t>Niveshak</w:t>
      </w:r>
      <w:proofErr w:type="spellEnd"/>
      <w:r w:rsidR="005F36E7" w:rsidRPr="005D13CB">
        <w:rPr>
          <w:rFonts w:ascii="Arial" w:hAnsi="Arial" w:cs="Arial"/>
          <w:b/>
          <w:lang w:val="en-US"/>
        </w:rPr>
        <w:t>”</w:t>
      </w:r>
      <w:r w:rsidR="00F05406">
        <w:rPr>
          <w:rFonts w:ascii="Arial" w:hAnsi="Arial" w:cs="Arial"/>
          <w:b/>
        </w:rPr>
        <w:t xml:space="preserve"> </w:t>
      </w:r>
      <w:r w:rsidR="005F36E7" w:rsidRPr="005D13CB">
        <w:rPr>
          <w:rFonts w:ascii="Arial" w:hAnsi="Arial" w:cs="Arial"/>
          <w:b/>
          <w:lang w:val="en-US"/>
        </w:rPr>
        <w:t xml:space="preserve">from </w:t>
      </w:r>
      <w:r w:rsidR="00F05406" w:rsidRPr="00F05406">
        <w:rPr>
          <w:rFonts w:ascii="Arial" w:hAnsi="Arial" w:cs="Arial"/>
          <w:b/>
          <w:u w:val="single"/>
          <w:lang w:val="en-US"/>
        </w:rPr>
        <w:t>April 1, 2026 to July 9, 2026</w:t>
      </w:r>
      <w:r w:rsidR="005F36E7" w:rsidRPr="005D13CB">
        <w:rPr>
          <w:rFonts w:ascii="Arial" w:hAnsi="Arial" w:cs="Arial"/>
          <w:lang w:val="en-US"/>
        </w:rPr>
        <w:t xml:space="preserve">, to reach out to the </w:t>
      </w:r>
      <w:r w:rsidR="00206924" w:rsidRPr="005D13CB">
        <w:rPr>
          <w:rFonts w:ascii="Arial" w:hAnsi="Arial" w:cs="Arial"/>
          <w:lang w:val="en-US"/>
        </w:rPr>
        <w:t xml:space="preserve">Shareholders </w:t>
      </w:r>
      <w:r w:rsidR="005F36E7" w:rsidRPr="005D13CB">
        <w:rPr>
          <w:rFonts w:ascii="Arial" w:hAnsi="Arial" w:cs="Arial"/>
          <w:lang w:val="en-US"/>
        </w:rPr>
        <w:t xml:space="preserve">whose dividends have remained </w:t>
      </w:r>
      <w:r w:rsidR="00197D6A">
        <w:rPr>
          <w:rFonts w:ascii="Arial" w:hAnsi="Arial" w:cs="Arial"/>
          <w:lang w:val="en-US"/>
        </w:rPr>
        <w:t xml:space="preserve">unpaid / </w:t>
      </w:r>
      <w:r w:rsidR="005F36E7" w:rsidRPr="005D13CB">
        <w:rPr>
          <w:rFonts w:ascii="Arial" w:hAnsi="Arial" w:cs="Arial"/>
          <w:lang w:val="en-US"/>
        </w:rPr>
        <w:t>unclaimed</w:t>
      </w:r>
      <w:r w:rsidR="009E3FDA">
        <w:rPr>
          <w:rFonts w:ascii="Arial" w:hAnsi="Arial" w:cs="Arial"/>
          <w:lang w:val="en-US"/>
        </w:rPr>
        <w:t xml:space="preserve"> </w:t>
      </w:r>
      <w:r w:rsidR="009E3FDA" w:rsidRPr="009E3FDA">
        <w:rPr>
          <w:rFonts w:ascii="Arial" w:hAnsi="Arial" w:cs="Arial"/>
          <w:lang w:val="en-US"/>
        </w:rPr>
        <w:t>in</w:t>
      </w:r>
      <w:r w:rsidR="00E95E03">
        <w:rPr>
          <w:rFonts w:ascii="Arial" w:hAnsi="Arial" w:cs="Arial"/>
          <w:lang w:val="en-US"/>
        </w:rPr>
        <w:t xml:space="preserve"> </w:t>
      </w:r>
      <w:r w:rsidR="009E3FDA" w:rsidRPr="009E3FDA">
        <w:rPr>
          <w:rFonts w:ascii="Arial" w:hAnsi="Arial" w:cs="Arial"/>
          <w:lang w:val="en-US"/>
        </w:rPr>
        <w:t>order to prevent their Shares from being transferred to the Investor Education and Protection</w:t>
      </w:r>
      <w:r w:rsidR="00E95E03">
        <w:rPr>
          <w:rFonts w:ascii="Arial" w:hAnsi="Arial" w:cs="Arial"/>
          <w:lang w:val="en-US"/>
        </w:rPr>
        <w:t xml:space="preserve"> </w:t>
      </w:r>
      <w:r w:rsidR="009E3FDA" w:rsidRPr="009E3FDA">
        <w:rPr>
          <w:rFonts w:ascii="Arial" w:hAnsi="Arial" w:cs="Arial"/>
          <w:lang w:val="en-US"/>
        </w:rPr>
        <w:t>fund Authority (IEPFA).</w:t>
      </w:r>
    </w:p>
    <w:p w14:paraId="6A05699C" w14:textId="77777777" w:rsidR="005F36E7" w:rsidRPr="00BF4CF4" w:rsidRDefault="005F36E7" w:rsidP="005F36E7">
      <w:pPr>
        <w:rPr>
          <w:rFonts w:ascii="Arial" w:hAnsi="Arial" w:cs="Arial"/>
          <w:sz w:val="14"/>
          <w:szCs w:val="14"/>
          <w:lang w:val="en-US"/>
        </w:rPr>
      </w:pPr>
    </w:p>
    <w:p w14:paraId="6CB17AEF" w14:textId="4887D0BE" w:rsidR="005F36E7" w:rsidRPr="005D13CB" w:rsidRDefault="005F36E7" w:rsidP="005F36E7">
      <w:pPr>
        <w:jc w:val="both"/>
        <w:rPr>
          <w:rFonts w:ascii="Arial" w:hAnsi="Arial" w:cs="Arial"/>
        </w:rPr>
      </w:pPr>
      <w:r w:rsidRPr="005D13CB">
        <w:rPr>
          <w:rFonts w:ascii="Arial" w:hAnsi="Arial" w:cs="Arial"/>
        </w:rPr>
        <w:t>In view of above and on verification of our records, it was noticed that you have not encashed your Dividend(s)</w:t>
      </w:r>
      <w:r w:rsidR="003D3025">
        <w:rPr>
          <w:rFonts w:ascii="Arial" w:hAnsi="Arial" w:cs="Arial"/>
        </w:rPr>
        <w:t xml:space="preserve">/Fractional Entitlement </w:t>
      </w:r>
      <w:r w:rsidRPr="005D13CB">
        <w:rPr>
          <w:rFonts w:ascii="Arial" w:hAnsi="Arial" w:cs="Arial"/>
        </w:rPr>
        <w:t>as per details given below:</w:t>
      </w:r>
    </w:p>
    <w:p w14:paraId="6FC606ED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5811"/>
        <w:gridCol w:w="2268"/>
      </w:tblGrid>
      <w:tr w:rsidR="005F36E7" w:rsidRPr="005D13CB" w14:paraId="5E39A6EE" w14:textId="77777777" w:rsidTr="00650705">
        <w:tc>
          <w:tcPr>
            <w:tcW w:w="2127" w:type="dxa"/>
            <w:shd w:val="clear" w:color="auto" w:fill="D9E2F3" w:themeFill="accent1" w:themeFillTint="33"/>
          </w:tcPr>
          <w:p w14:paraId="1B04A5B7" w14:textId="77777777" w:rsidR="005F36E7" w:rsidRPr="005D13CB" w:rsidRDefault="005F36E7" w:rsidP="00D92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3CB">
              <w:rPr>
                <w:rFonts w:ascii="Arial" w:hAnsi="Arial" w:cs="Arial"/>
                <w:b/>
                <w:bCs/>
              </w:rPr>
              <w:t>Warrant No</w:t>
            </w:r>
          </w:p>
        </w:tc>
        <w:tc>
          <w:tcPr>
            <w:tcW w:w="5811" w:type="dxa"/>
            <w:shd w:val="clear" w:color="auto" w:fill="D9E2F3" w:themeFill="accent1" w:themeFillTint="33"/>
          </w:tcPr>
          <w:p w14:paraId="1C561B73" w14:textId="77777777" w:rsidR="005F36E7" w:rsidRPr="005D13CB" w:rsidRDefault="005F36E7" w:rsidP="00D92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3CB">
              <w:rPr>
                <w:rFonts w:ascii="Arial" w:hAnsi="Arial" w:cs="Arial"/>
                <w:b/>
                <w:bCs/>
              </w:rPr>
              <w:t>Dividend / Year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E67C692" w14:textId="77777777" w:rsidR="005F36E7" w:rsidRPr="005D13CB" w:rsidRDefault="005F36E7" w:rsidP="00D92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13CB">
              <w:rPr>
                <w:rFonts w:ascii="Arial" w:hAnsi="Arial" w:cs="Arial"/>
                <w:b/>
                <w:bCs/>
              </w:rPr>
              <w:t>Amount (Rs.)</w:t>
            </w:r>
          </w:p>
        </w:tc>
      </w:tr>
      <w:tr w:rsidR="00E41DDF" w:rsidRPr="005D13CB" w14:paraId="38A3D5CC" w14:textId="77777777" w:rsidTr="00650705">
        <w:tc>
          <w:tcPr>
            <w:tcW w:w="2127" w:type="dxa"/>
          </w:tcPr>
          <w:p w14:paraId="64C5D4C5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14808161" w14:textId="26C5A311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2018-19</w:t>
            </w:r>
          </w:p>
        </w:tc>
        <w:tc>
          <w:tcPr>
            <w:tcW w:w="2268" w:type="dxa"/>
          </w:tcPr>
          <w:p w14:paraId="20F02ABA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52958992" w14:textId="77777777" w:rsidTr="00650705">
        <w:tc>
          <w:tcPr>
            <w:tcW w:w="2127" w:type="dxa"/>
          </w:tcPr>
          <w:p w14:paraId="004DBDBE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174D234" w14:textId="070D826B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2019-20</w:t>
            </w:r>
          </w:p>
        </w:tc>
        <w:tc>
          <w:tcPr>
            <w:tcW w:w="2268" w:type="dxa"/>
          </w:tcPr>
          <w:p w14:paraId="39B0E6DD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3A4461CC" w14:textId="77777777" w:rsidTr="00650705">
        <w:tc>
          <w:tcPr>
            <w:tcW w:w="2127" w:type="dxa"/>
          </w:tcPr>
          <w:p w14:paraId="4DCB8559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13C782F9" w14:textId="2C51020A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2020-21</w:t>
            </w:r>
          </w:p>
        </w:tc>
        <w:tc>
          <w:tcPr>
            <w:tcW w:w="2268" w:type="dxa"/>
          </w:tcPr>
          <w:p w14:paraId="67F8438D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6913491E" w14:textId="77777777" w:rsidTr="00650705">
        <w:tc>
          <w:tcPr>
            <w:tcW w:w="2127" w:type="dxa"/>
          </w:tcPr>
          <w:p w14:paraId="6C68A653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5C1A87B" w14:textId="3AC7F1D4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6F0024">
              <w:rPr>
                <w:rFonts w:ascii="Arial" w:hAnsi="Arial" w:cs="Arial"/>
              </w:rPr>
              <w:t xml:space="preserve">Fractional </w:t>
            </w:r>
            <w:r>
              <w:rPr>
                <w:rFonts w:ascii="Arial" w:hAnsi="Arial" w:cs="Arial"/>
              </w:rPr>
              <w:t>Entitlement f</w:t>
            </w:r>
            <w:r w:rsidRPr="006F0024">
              <w:rPr>
                <w:rFonts w:ascii="Arial" w:hAnsi="Arial" w:cs="Arial"/>
              </w:rPr>
              <w:t>or Bonus</w:t>
            </w:r>
            <w:r>
              <w:rPr>
                <w:rFonts w:ascii="Arial" w:hAnsi="Arial" w:cs="Arial"/>
              </w:rPr>
              <w:t xml:space="preserve"> Shares </w:t>
            </w:r>
            <w:r w:rsidRPr="006F0024">
              <w:rPr>
                <w:rFonts w:ascii="Arial" w:hAnsi="Arial" w:cs="Arial"/>
              </w:rPr>
              <w:t>2022</w:t>
            </w:r>
          </w:p>
        </w:tc>
        <w:tc>
          <w:tcPr>
            <w:tcW w:w="2268" w:type="dxa"/>
          </w:tcPr>
          <w:p w14:paraId="71692091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7B034557" w14:textId="77777777" w:rsidTr="00650705">
        <w:tc>
          <w:tcPr>
            <w:tcW w:w="2127" w:type="dxa"/>
          </w:tcPr>
          <w:p w14:paraId="23E8FA36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3BD3BC30" w14:textId="239534B3" w:rsidR="00E41DDF" w:rsidRPr="005D13CB" w:rsidRDefault="00E41DDF" w:rsidP="00DA64AF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2021-22</w:t>
            </w:r>
          </w:p>
        </w:tc>
        <w:tc>
          <w:tcPr>
            <w:tcW w:w="2268" w:type="dxa"/>
          </w:tcPr>
          <w:p w14:paraId="44E75DB8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2582C995" w14:textId="77777777" w:rsidTr="00650705">
        <w:tc>
          <w:tcPr>
            <w:tcW w:w="2127" w:type="dxa"/>
          </w:tcPr>
          <w:p w14:paraId="47881138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A095980" w14:textId="2E1372F9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2022-23</w:t>
            </w:r>
          </w:p>
        </w:tc>
        <w:tc>
          <w:tcPr>
            <w:tcW w:w="2268" w:type="dxa"/>
          </w:tcPr>
          <w:p w14:paraId="63BB5A44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E41DDF" w:rsidRPr="005D13CB" w14:paraId="3A1E8B62" w14:textId="77777777" w:rsidTr="00650705">
        <w:tc>
          <w:tcPr>
            <w:tcW w:w="2127" w:type="dxa"/>
          </w:tcPr>
          <w:p w14:paraId="257C1BAB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253E2DFD" w14:textId="3B2E79EC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2023-24</w:t>
            </w:r>
          </w:p>
        </w:tc>
        <w:tc>
          <w:tcPr>
            <w:tcW w:w="2268" w:type="dxa"/>
          </w:tcPr>
          <w:p w14:paraId="5D770598" w14:textId="77777777" w:rsidR="00E41DDF" w:rsidRPr="005D13CB" w:rsidRDefault="00E41DDF" w:rsidP="00D922D0">
            <w:pPr>
              <w:jc w:val="center"/>
              <w:rPr>
                <w:rFonts w:ascii="Arial" w:hAnsi="Arial" w:cs="Arial"/>
              </w:rPr>
            </w:pPr>
          </w:p>
        </w:tc>
      </w:tr>
      <w:tr w:rsidR="006F39D8" w:rsidRPr="005D13CB" w14:paraId="2778FA02" w14:textId="77777777" w:rsidTr="00650705">
        <w:tc>
          <w:tcPr>
            <w:tcW w:w="2127" w:type="dxa"/>
          </w:tcPr>
          <w:p w14:paraId="77D89AD8" w14:textId="77777777" w:rsidR="006F39D8" w:rsidRPr="005D13CB" w:rsidRDefault="006F39D8" w:rsidP="00D922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BB946EE" w14:textId="6B38ADE5" w:rsidR="006F39D8" w:rsidRPr="005D13CB" w:rsidRDefault="00E41DDF" w:rsidP="00D92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2024-25</w:t>
            </w:r>
          </w:p>
        </w:tc>
        <w:tc>
          <w:tcPr>
            <w:tcW w:w="2268" w:type="dxa"/>
          </w:tcPr>
          <w:p w14:paraId="1DE2F90C" w14:textId="77777777" w:rsidR="006F39D8" w:rsidRPr="005D13CB" w:rsidRDefault="006F39D8" w:rsidP="00D922D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D60F69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6F19FCB1" w14:textId="154DFBFA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The </w:t>
      </w:r>
      <w:r w:rsidR="00C87DBC" w:rsidRPr="005D13CB">
        <w:rPr>
          <w:rFonts w:ascii="Arial" w:hAnsi="Arial" w:cs="Arial"/>
          <w:lang w:val="en-US"/>
        </w:rPr>
        <w:t xml:space="preserve">Shareholders </w:t>
      </w:r>
      <w:r w:rsidRPr="005D13CB">
        <w:rPr>
          <w:rFonts w:ascii="Arial" w:hAnsi="Arial" w:cs="Arial"/>
          <w:lang w:val="en-US"/>
        </w:rPr>
        <w:t>who have not updated their KYC and other details are requested to update the same at the earliest.</w:t>
      </w:r>
    </w:p>
    <w:p w14:paraId="5300126D" w14:textId="77777777" w:rsidR="005F36E7" w:rsidRPr="00BF4CF4" w:rsidRDefault="005F36E7" w:rsidP="005F36E7">
      <w:pPr>
        <w:rPr>
          <w:rFonts w:ascii="Arial" w:hAnsi="Arial" w:cs="Arial"/>
          <w:sz w:val="14"/>
          <w:szCs w:val="14"/>
          <w:lang w:val="en-US"/>
        </w:rPr>
      </w:pPr>
    </w:p>
    <w:p w14:paraId="44CFD0D0" w14:textId="50225064" w:rsidR="005F36E7" w:rsidRPr="009219C0" w:rsidRDefault="009219C0" w:rsidP="005F36E7">
      <w:pPr>
        <w:pStyle w:val="ListParagraph"/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219C0">
        <w:rPr>
          <w:rFonts w:ascii="Arial" w:hAnsi="Arial" w:cs="Arial"/>
          <w:b/>
          <w:sz w:val="22"/>
          <w:szCs w:val="22"/>
          <w:u w:val="single"/>
          <w:lang w:val="en-US"/>
        </w:rPr>
        <w:t>A)</w:t>
      </w:r>
      <w:r w:rsidR="005F36E7" w:rsidRPr="009219C0">
        <w:rPr>
          <w:rFonts w:ascii="Arial" w:hAnsi="Arial" w:cs="Arial"/>
          <w:b/>
          <w:sz w:val="22"/>
          <w:szCs w:val="22"/>
          <w:u w:val="single"/>
          <w:lang w:val="en-US"/>
        </w:rPr>
        <w:t> For Shareholders holding shares of the Company in dematerialized mode</w:t>
      </w:r>
      <w:r w:rsidRPr="009219C0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14:paraId="1C386F6A" w14:textId="77777777" w:rsidR="006701A7" w:rsidRPr="00BF4CF4" w:rsidRDefault="006701A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2935E3B3" w14:textId="60D41718" w:rsidR="005F36E7" w:rsidRPr="005D13CB" w:rsidRDefault="00D9425E" w:rsidP="005F36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5F36E7" w:rsidRPr="005D13CB">
        <w:rPr>
          <w:rFonts w:ascii="Arial" w:hAnsi="Arial" w:cs="Arial"/>
          <w:lang w:val="en-US"/>
        </w:rPr>
        <w:t>Shareholders holding shares of the Company in dematerialized mode are requested to register / update their KYC and other details with their relevant Depository Participants (</w:t>
      </w:r>
      <w:r>
        <w:rPr>
          <w:rFonts w:ascii="Arial" w:hAnsi="Arial" w:cs="Arial"/>
          <w:lang w:val="en-US"/>
        </w:rPr>
        <w:t>‘</w:t>
      </w:r>
      <w:r w:rsidR="005F36E7" w:rsidRPr="00D9425E">
        <w:rPr>
          <w:rFonts w:ascii="Arial" w:hAnsi="Arial" w:cs="Arial"/>
          <w:b/>
          <w:lang w:val="en-US"/>
        </w:rPr>
        <w:t>DP</w:t>
      </w:r>
      <w:r w:rsidRPr="00D9425E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lang w:val="en-US"/>
        </w:rPr>
        <w:t>’</w:t>
      </w:r>
      <w:r w:rsidR="005F36E7" w:rsidRPr="005D13CB">
        <w:rPr>
          <w:rFonts w:ascii="Arial" w:hAnsi="Arial" w:cs="Arial"/>
          <w:lang w:val="en-US"/>
        </w:rPr>
        <w:t xml:space="preserve">) and </w:t>
      </w:r>
      <w:r w:rsidR="003D3025">
        <w:rPr>
          <w:rFonts w:ascii="Arial" w:hAnsi="Arial" w:cs="Arial"/>
          <w:lang w:val="en-US"/>
        </w:rPr>
        <w:t xml:space="preserve">thereafter, </w:t>
      </w:r>
      <w:r w:rsidR="005F36E7" w:rsidRPr="005D13CB">
        <w:rPr>
          <w:rFonts w:ascii="Arial" w:hAnsi="Arial" w:cs="Arial"/>
          <w:lang w:val="en-US"/>
        </w:rPr>
        <w:t>contact the Company’s Registrar and Transfer Agent (‘</w:t>
      </w:r>
      <w:r w:rsidR="005F36E7" w:rsidRPr="005D13CB">
        <w:rPr>
          <w:rFonts w:ascii="Arial" w:hAnsi="Arial" w:cs="Arial"/>
          <w:b/>
          <w:lang w:val="en-US"/>
        </w:rPr>
        <w:t>RTA’</w:t>
      </w:r>
      <w:r w:rsidR="005F36E7" w:rsidRPr="005D13CB">
        <w:rPr>
          <w:rFonts w:ascii="Arial" w:hAnsi="Arial" w:cs="Arial"/>
          <w:lang w:val="en-US"/>
        </w:rPr>
        <w:t xml:space="preserve">) to claim </w:t>
      </w:r>
      <w:r w:rsidR="00E236AA">
        <w:rPr>
          <w:rFonts w:ascii="Arial" w:hAnsi="Arial" w:cs="Arial"/>
          <w:lang w:val="en-US"/>
        </w:rPr>
        <w:t xml:space="preserve">their </w:t>
      </w:r>
      <w:r w:rsidR="005F36E7" w:rsidRPr="005D13CB">
        <w:rPr>
          <w:rFonts w:ascii="Arial" w:hAnsi="Arial" w:cs="Arial"/>
          <w:lang w:val="en-US"/>
        </w:rPr>
        <w:t>unpaid</w:t>
      </w:r>
      <w:r w:rsidR="008735F3">
        <w:rPr>
          <w:rFonts w:ascii="Arial" w:hAnsi="Arial" w:cs="Arial"/>
          <w:lang w:val="en-US"/>
        </w:rPr>
        <w:t xml:space="preserve"> </w:t>
      </w:r>
      <w:r w:rsidR="005F36E7" w:rsidRPr="005D13CB">
        <w:rPr>
          <w:rFonts w:ascii="Arial" w:hAnsi="Arial" w:cs="Arial"/>
          <w:lang w:val="en-US"/>
        </w:rPr>
        <w:t>/</w:t>
      </w:r>
      <w:r w:rsidR="008735F3">
        <w:rPr>
          <w:rFonts w:ascii="Arial" w:hAnsi="Arial" w:cs="Arial"/>
          <w:lang w:val="en-US"/>
        </w:rPr>
        <w:t xml:space="preserve"> </w:t>
      </w:r>
      <w:r w:rsidR="005F36E7" w:rsidRPr="005D13CB">
        <w:rPr>
          <w:rFonts w:ascii="Arial" w:hAnsi="Arial" w:cs="Arial"/>
          <w:lang w:val="en-US"/>
        </w:rPr>
        <w:t>unclaimed Dividend</w:t>
      </w:r>
      <w:r w:rsidR="00E236AA">
        <w:rPr>
          <w:rFonts w:ascii="Arial" w:hAnsi="Arial" w:cs="Arial"/>
          <w:lang w:val="en-US"/>
        </w:rPr>
        <w:t>s</w:t>
      </w:r>
      <w:r w:rsidR="005F36E7" w:rsidRPr="005D13CB">
        <w:rPr>
          <w:rFonts w:ascii="Arial" w:hAnsi="Arial" w:cs="Arial"/>
          <w:lang w:val="en-US"/>
        </w:rPr>
        <w:t>.</w:t>
      </w:r>
    </w:p>
    <w:p w14:paraId="673599D3" w14:textId="77777777" w:rsidR="000A3D6B" w:rsidRPr="00BF4CF4" w:rsidRDefault="000A3D6B" w:rsidP="005F36E7">
      <w:pPr>
        <w:pStyle w:val="ListParagraph"/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b/>
          <w:sz w:val="14"/>
          <w:szCs w:val="14"/>
          <w:u w:val="single"/>
          <w:lang w:val="en-US"/>
        </w:rPr>
      </w:pPr>
    </w:p>
    <w:p w14:paraId="5B901E22" w14:textId="23EEEBFB" w:rsidR="005F36E7" w:rsidRPr="00B3526B" w:rsidRDefault="005F36E7" w:rsidP="005F36E7">
      <w:pPr>
        <w:pStyle w:val="ListParagraph"/>
        <w:spacing w:before="0" w:beforeAutospacing="0" w:after="0" w:afterAutospacing="0"/>
        <w:ind w:left="426" w:hanging="426"/>
        <w:contextualSpacing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B3526B">
        <w:rPr>
          <w:rFonts w:ascii="Arial" w:hAnsi="Arial" w:cs="Arial"/>
          <w:b/>
          <w:sz w:val="22"/>
          <w:szCs w:val="22"/>
          <w:u w:val="single"/>
          <w:lang w:val="en-US"/>
        </w:rPr>
        <w:t>B</w:t>
      </w:r>
      <w:r w:rsidR="00B3526B" w:rsidRPr="00B3526B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) </w:t>
      </w:r>
      <w:r w:rsidRPr="00B3526B">
        <w:rPr>
          <w:rFonts w:ascii="Arial" w:hAnsi="Arial" w:cs="Arial"/>
          <w:b/>
          <w:sz w:val="22"/>
          <w:szCs w:val="22"/>
          <w:u w:val="single"/>
          <w:lang w:val="en-US"/>
        </w:rPr>
        <w:t>For Shareholders holding shares of the Company in Physical mode</w:t>
      </w:r>
      <w:r w:rsidR="00B3526B" w:rsidRPr="00B3526B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</w:p>
    <w:p w14:paraId="42E0D664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468DA494" w14:textId="1D7558D0" w:rsidR="005F36E7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It is mandatory for all </w:t>
      </w:r>
      <w:r w:rsidR="002735AF">
        <w:rPr>
          <w:rFonts w:ascii="Arial" w:hAnsi="Arial" w:cs="Arial"/>
          <w:lang w:val="en-US"/>
        </w:rPr>
        <w:t>the Share</w:t>
      </w:r>
      <w:r w:rsidRPr="005D13CB">
        <w:rPr>
          <w:rFonts w:ascii="Arial" w:hAnsi="Arial" w:cs="Arial"/>
          <w:lang w:val="en-US"/>
        </w:rPr>
        <w:t>holders of physical securities in listed companies to furnish the following</w:t>
      </w:r>
      <w:r w:rsidR="002735AF">
        <w:rPr>
          <w:rFonts w:ascii="Arial" w:hAnsi="Arial" w:cs="Arial"/>
          <w:lang w:val="en-US"/>
        </w:rPr>
        <w:t>s</w:t>
      </w:r>
      <w:r w:rsidRPr="005D13CB">
        <w:rPr>
          <w:rFonts w:ascii="Arial" w:hAnsi="Arial" w:cs="Arial"/>
          <w:lang w:val="en-US"/>
        </w:rPr>
        <w:t>:</w:t>
      </w:r>
    </w:p>
    <w:p w14:paraId="48FFD224" w14:textId="77777777" w:rsidR="002735AF" w:rsidRPr="00BF4CF4" w:rsidRDefault="002735AF" w:rsidP="005F36E7">
      <w:pPr>
        <w:ind w:left="426" w:hanging="426"/>
        <w:jc w:val="both"/>
        <w:rPr>
          <w:rFonts w:ascii="Arial" w:hAnsi="Arial" w:cs="Arial"/>
          <w:sz w:val="14"/>
          <w:szCs w:val="14"/>
          <w:lang w:val="en-US"/>
        </w:rPr>
      </w:pPr>
    </w:p>
    <w:p w14:paraId="42EF8AF9" w14:textId="2C6828A9" w:rsidR="005F36E7" w:rsidRPr="005D13CB" w:rsidRDefault="005F36E7" w:rsidP="005F36E7">
      <w:pPr>
        <w:ind w:left="426" w:hanging="426"/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>1.      P</w:t>
      </w:r>
      <w:r w:rsidR="00E639E7">
        <w:rPr>
          <w:rFonts w:ascii="Arial" w:hAnsi="Arial" w:cs="Arial"/>
          <w:lang w:val="en-US"/>
        </w:rPr>
        <w:t>ermanent Account Number (P</w:t>
      </w:r>
      <w:r w:rsidRPr="005D13CB">
        <w:rPr>
          <w:rFonts w:ascii="Arial" w:hAnsi="Arial" w:cs="Arial"/>
          <w:lang w:val="en-US"/>
        </w:rPr>
        <w:t>AN</w:t>
      </w:r>
      <w:r w:rsidR="00E639E7">
        <w:rPr>
          <w:rFonts w:ascii="Arial" w:hAnsi="Arial" w:cs="Arial"/>
          <w:lang w:val="en-US"/>
        </w:rPr>
        <w:t>)</w:t>
      </w:r>
    </w:p>
    <w:p w14:paraId="486C54D8" w14:textId="6D3BF6DA" w:rsidR="005F36E7" w:rsidRPr="005D13CB" w:rsidRDefault="003D3025" w:rsidP="005F36E7">
      <w:pPr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5F36E7" w:rsidRPr="005D13CB">
        <w:rPr>
          <w:rFonts w:ascii="Arial" w:hAnsi="Arial" w:cs="Arial"/>
          <w:lang w:val="en-US"/>
        </w:rPr>
        <w:t xml:space="preserve">.      Contact details (Postal Address with PIN and Mobile Number) </w:t>
      </w:r>
    </w:p>
    <w:p w14:paraId="7EFFD0AF" w14:textId="52409CF9" w:rsidR="005F36E7" w:rsidRPr="005D13CB" w:rsidRDefault="003D3025" w:rsidP="005F36E7">
      <w:pPr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="005F36E7" w:rsidRPr="005D13CB">
        <w:rPr>
          <w:rFonts w:ascii="Arial" w:hAnsi="Arial" w:cs="Arial"/>
          <w:lang w:val="en-US"/>
        </w:rPr>
        <w:t xml:space="preserve">.      Bank </w:t>
      </w:r>
      <w:r w:rsidR="00DE01EB">
        <w:rPr>
          <w:rFonts w:ascii="Arial" w:hAnsi="Arial" w:cs="Arial"/>
          <w:lang w:val="en-US"/>
        </w:rPr>
        <w:t xml:space="preserve">Account </w:t>
      </w:r>
      <w:r w:rsidR="005F36E7" w:rsidRPr="005D13CB">
        <w:rPr>
          <w:rFonts w:ascii="Arial" w:hAnsi="Arial" w:cs="Arial"/>
          <w:lang w:val="en-US"/>
        </w:rPr>
        <w:t xml:space="preserve">details </w:t>
      </w:r>
    </w:p>
    <w:p w14:paraId="36F5D132" w14:textId="1D7370C1" w:rsidR="005F36E7" w:rsidRPr="005D13CB" w:rsidRDefault="003D3025" w:rsidP="005F36E7">
      <w:pPr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="005F36E7" w:rsidRPr="005D13CB">
        <w:rPr>
          <w:rFonts w:ascii="Arial" w:hAnsi="Arial" w:cs="Arial"/>
          <w:lang w:val="en-US"/>
        </w:rPr>
        <w:t xml:space="preserve">.      Specimen signature </w:t>
      </w:r>
    </w:p>
    <w:p w14:paraId="0F673C51" w14:textId="11F2713A" w:rsidR="005F36E7" w:rsidRPr="005D13CB" w:rsidRDefault="003D3025" w:rsidP="005F36E7">
      <w:pPr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="005F36E7" w:rsidRPr="005D13CB">
        <w:rPr>
          <w:rFonts w:ascii="Arial" w:hAnsi="Arial" w:cs="Arial"/>
          <w:lang w:val="en-US"/>
        </w:rPr>
        <w:t xml:space="preserve">.      Shareholders are encouraged to register their email id to avail </w:t>
      </w:r>
      <w:r w:rsidR="00DE01EB">
        <w:rPr>
          <w:rFonts w:ascii="Arial" w:hAnsi="Arial" w:cs="Arial"/>
          <w:lang w:val="en-US"/>
        </w:rPr>
        <w:t xml:space="preserve">the </w:t>
      </w:r>
      <w:r w:rsidR="005F36E7" w:rsidRPr="005D13CB">
        <w:rPr>
          <w:rFonts w:ascii="Arial" w:hAnsi="Arial" w:cs="Arial"/>
          <w:lang w:val="en-US"/>
        </w:rPr>
        <w:t>online services.</w:t>
      </w:r>
    </w:p>
    <w:p w14:paraId="77AFDC5E" w14:textId="1C149A82" w:rsidR="003D3025" w:rsidRPr="005D13CB" w:rsidRDefault="003D3025" w:rsidP="003D3025">
      <w:pPr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5D13CB">
        <w:rPr>
          <w:rFonts w:ascii="Arial" w:hAnsi="Arial" w:cs="Arial"/>
          <w:lang w:val="en-US"/>
        </w:rPr>
        <w:t xml:space="preserve">.      </w:t>
      </w:r>
      <w:r>
        <w:rPr>
          <w:rFonts w:ascii="Arial" w:hAnsi="Arial" w:cs="Arial"/>
          <w:lang w:val="en-US"/>
        </w:rPr>
        <w:t xml:space="preserve">Choice of Nomination or </w:t>
      </w:r>
      <w:proofErr w:type="spellStart"/>
      <w:r>
        <w:rPr>
          <w:rFonts w:ascii="Arial" w:hAnsi="Arial" w:cs="Arial"/>
          <w:lang w:val="en-US"/>
        </w:rPr>
        <w:t>Opt</w:t>
      </w:r>
      <w:proofErr w:type="spellEnd"/>
      <w:r>
        <w:rPr>
          <w:rFonts w:ascii="Arial" w:hAnsi="Arial" w:cs="Arial"/>
          <w:lang w:val="en-US"/>
        </w:rPr>
        <w:t xml:space="preserve"> Out (Optional)</w:t>
      </w:r>
      <w:r w:rsidRPr="005D13CB">
        <w:rPr>
          <w:rFonts w:ascii="Arial" w:hAnsi="Arial" w:cs="Arial"/>
          <w:lang w:val="en-US"/>
        </w:rPr>
        <w:t xml:space="preserve"> </w:t>
      </w:r>
    </w:p>
    <w:p w14:paraId="0681980A" w14:textId="77777777" w:rsidR="005F36E7" w:rsidRPr="00BF4CF4" w:rsidRDefault="005F36E7" w:rsidP="005F36E7">
      <w:pPr>
        <w:rPr>
          <w:rFonts w:ascii="Arial" w:hAnsi="Arial" w:cs="Arial"/>
          <w:sz w:val="14"/>
          <w:szCs w:val="14"/>
          <w:lang w:val="en-US"/>
        </w:rPr>
      </w:pPr>
    </w:p>
    <w:p w14:paraId="34B27C58" w14:textId="6F567BCF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We urge </w:t>
      </w:r>
      <w:r w:rsidR="00DE01EB" w:rsidRPr="005D13CB">
        <w:rPr>
          <w:rFonts w:ascii="Arial" w:hAnsi="Arial" w:cs="Arial"/>
          <w:lang w:val="en-US"/>
        </w:rPr>
        <w:t xml:space="preserve">Shareholders </w:t>
      </w:r>
      <w:r w:rsidRPr="005D13CB">
        <w:rPr>
          <w:rFonts w:ascii="Arial" w:hAnsi="Arial" w:cs="Arial"/>
          <w:lang w:val="en-US"/>
        </w:rPr>
        <w:t xml:space="preserve">holding shares in physical mode to furnish / update complete details by submitting the duly filled-in following KYC </w:t>
      </w:r>
      <w:r w:rsidR="00DE01EB" w:rsidRPr="005D13CB">
        <w:rPr>
          <w:rFonts w:ascii="Arial" w:hAnsi="Arial" w:cs="Arial"/>
          <w:lang w:val="en-US"/>
        </w:rPr>
        <w:t xml:space="preserve">Forms </w:t>
      </w:r>
      <w:r w:rsidRPr="005D13CB">
        <w:rPr>
          <w:rFonts w:ascii="Arial" w:hAnsi="Arial" w:cs="Arial"/>
          <w:lang w:val="en-US"/>
        </w:rPr>
        <w:t xml:space="preserve">as applicable, along with </w:t>
      </w:r>
      <w:r w:rsidR="00DE01EB">
        <w:rPr>
          <w:rFonts w:ascii="Arial" w:hAnsi="Arial" w:cs="Arial"/>
          <w:lang w:val="en-US"/>
        </w:rPr>
        <w:t xml:space="preserve">the </w:t>
      </w:r>
      <w:r w:rsidRPr="005D13CB">
        <w:rPr>
          <w:rFonts w:ascii="Arial" w:hAnsi="Arial" w:cs="Arial"/>
          <w:lang w:val="en-US"/>
        </w:rPr>
        <w:t>self-attested mandatory supporting documents to the Company’s RTA</w:t>
      </w:r>
      <w:r w:rsidR="00B50EA0">
        <w:rPr>
          <w:rFonts w:ascii="Arial" w:hAnsi="Arial" w:cs="Arial"/>
          <w:lang w:val="en-US"/>
        </w:rPr>
        <w:t xml:space="preserve"> at its below mentioned address</w:t>
      </w:r>
      <w:r w:rsidRPr="005D13CB">
        <w:rPr>
          <w:rFonts w:ascii="Arial" w:hAnsi="Arial" w:cs="Arial"/>
          <w:lang w:val="en-US"/>
        </w:rPr>
        <w:t>:</w:t>
      </w:r>
    </w:p>
    <w:p w14:paraId="3E590519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tbl>
      <w:tblPr>
        <w:tblW w:w="4948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462"/>
      </w:tblGrid>
      <w:tr w:rsidR="005F36E7" w:rsidRPr="005D13CB" w14:paraId="75178393" w14:textId="77777777" w:rsidTr="00366AC3"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74B5" w14:textId="77777777" w:rsidR="005F36E7" w:rsidRPr="005D13CB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5D13CB">
              <w:rPr>
                <w:rFonts w:ascii="Arial" w:hAnsi="Arial" w:cs="Arial"/>
                <w:b/>
              </w:rPr>
              <w:t>Form</w:t>
            </w:r>
          </w:p>
        </w:tc>
        <w:tc>
          <w:tcPr>
            <w:tcW w:w="4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41C8" w14:textId="77777777" w:rsidR="005F36E7" w:rsidRPr="005D13CB" w:rsidRDefault="005F36E7" w:rsidP="002C64A7">
            <w:pPr>
              <w:rPr>
                <w:rFonts w:ascii="Arial" w:hAnsi="Arial" w:cs="Arial"/>
                <w:b/>
              </w:rPr>
            </w:pPr>
            <w:r w:rsidRPr="005D13CB">
              <w:rPr>
                <w:rFonts w:ascii="Arial" w:hAnsi="Arial" w:cs="Arial"/>
                <w:b/>
              </w:rPr>
              <w:t>Description</w:t>
            </w:r>
          </w:p>
        </w:tc>
      </w:tr>
      <w:tr w:rsidR="005F36E7" w:rsidRPr="005D13CB" w14:paraId="3C54572A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8A27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ISR-1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B570" w14:textId="63B4C51A" w:rsidR="005F36E7" w:rsidRPr="005D13CB" w:rsidRDefault="005F36E7" w:rsidP="006859AD">
            <w:pPr>
              <w:jc w:val="both"/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 xml:space="preserve">Request for registering PAN, KYC details or changes / </w:t>
            </w:r>
            <w:proofErr w:type="spellStart"/>
            <w:r w:rsidRPr="005D13CB">
              <w:rPr>
                <w:rFonts w:ascii="Arial" w:hAnsi="Arial" w:cs="Arial"/>
              </w:rPr>
              <w:t>updation</w:t>
            </w:r>
            <w:proofErr w:type="spellEnd"/>
            <w:r w:rsidRPr="005D13CB">
              <w:rPr>
                <w:rFonts w:ascii="Arial" w:hAnsi="Arial" w:cs="Arial"/>
              </w:rPr>
              <w:t xml:space="preserve"> thereof</w:t>
            </w:r>
            <w:r w:rsidR="008C3C4B">
              <w:rPr>
                <w:rFonts w:ascii="Arial" w:hAnsi="Arial" w:cs="Arial"/>
              </w:rPr>
              <w:t xml:space="preserve"> </w:t>
            </w:r>
            <w:r w:rsidR="008C3C4B" w:rsidRPr="008C3C4B">
              <w:rPr>
                <w:rFonts w:ascii="Arial" w:hAnsi="Arial" w:cs="Arial"/>
              </w:rPr>
              <w:t>(only for securities held in physical)</w:t>
            </w:r>
          </w:p>
        </w:tc>
      </w:tr>
      <w:tr w:rsidR="005F36E7" w:rsidRPr="005D13CB" w14:paraId="2DA9F3C8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0B90F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ISR-2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1CE9" w14:textId="77777777" w:rsidR="005F36E7" w:rsidRPr="005D13CB" w:rsidRDefault="005F36E7" w:rsidP="002C64A7">
            <w:pPr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Confirmation of signature of the securities holder by the Banker</w:t>
            </w:r>
          </w:p>
        </w:tc>
      </w:tr>
      <w:tr w:rsidR="005F36E7" w:rsidRPr="005D13CB" w14:paraId="15B19706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1107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ISR-3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1D6B" w14:textId="77777777" w:rsidR="005F36E7" w:rsidRPr="005D13CB" w:rsidRDefault="005F36E7" w:rsidP="002C64A7">
            <w:pPr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Declaration form for opting out of nomination by holders of physical securities</w:t>
            </w:r>
          </w:p>
        </w:tc>
      </w:tr>
      <w:tr w:rsidR="005F36E7" w:rsidRPr="005D13CB" w14:paraId="0E60053F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6C1D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ISR-4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7172" w14:textId="77777777" w:rsidR="005F36E7" w:rsidRPr="005D13CB" w:rsidRDefault="005F36E7" w:rsidP="002C64A7">
            <w:pPr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Request for issue of Duplicate Certificate and other Service Requests</w:t>
            </w:r>
          </w:p>
        </w:tc>
      </w:tr>
      <w:tr w:rsidR="005F36E7" w:rsidRPr="005D13CB" w14:paraId="1C788934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0BC5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SH-13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3BCA" w14:textId="77777777" w:rsidR="005F36E7" w:rsidRPr="005D13CB" w:rsidRDefault="005F36E7" w:rsidP="002C64A7">
            <w:pPr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>Nomination Form</w:t>
            </w:r>
          </w:p>
        </w:tc>
      </w:tr>
      <w:tr w:rsidR="005F36E7" w:rsidRPr="005D13CB" w14:paraId="1BA68D21" w14:textId="77777777" w:rsidTr="00366AC3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5B0B" w14:textId="77777777" w:rsidR="005F36E7" w:rsidRPr="00DD0740" w:rsidRDefault="005F36E7" w:rsidP="00177468">
            <w:pPr>
              <w:jc w:val="center"/>
              <w:rPr>
                <w:rFonts w:ascii="Arial" w:hAnsi="Arial" w:cs="Arial"/>
                <w:b/>
              </w:rPr>
            </w:pPr>
            <w:r w:rsidRPr="00DD0740">
              <w:rPr>
                <w:rFonts w:ascii="Arial" w:hAnsi="Arial" w:cs="Arial"/>
                <w:b/>
              </w:rPr>
              <w:t>SH-14</w:t>
            </w:r>
          </w:p>
        </w:tc>
        <w:tc>
          <w:tcPr>
            <w:tcW w:w="4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95F5" w14:textId="77777777" w:rsidR="005F36E7" w:rsidRPr="005D13CB" w:rsidRDefault="005F36E7" w:rsidP="002C64A7">
            <w:pPr>
              <w:rPr>
                <w:rFonts w:ascii="Arial" w:hAnsi="Arial" w:cs="Arial"/>
              </w:rPr>
            </w:pPr>
            <w:r w:rsidRPr="005D13CB">
              <w:rPr>
                <w:rFonts w:ascii="Arial" w:hAnsi="Arial" w:cs="Arial"/>
              </w:rPr>
              <w:t xml:space="preserve">Cancellation </w:t>
            </w:r>
            <w:r w:rsidRPr="00685DCC">
              <w:rPr>
                <w:rFonts w:ascii="Arial" w:hAnsi="Arial" w:cs="Arial"/>
                <w:b/>
              </w:rPr>
              <w:t>or</w:t>
            </w:r>
            <w:r w:rsidRPr="005D13CB">
              <w:rPr>
                <w:rFonts w:ascii="Arial" w:hAnsi="Arial" w:cs="Arial"/>
              </w:rPr>
              <w:t xml:space="preserve"> variation of nomination</w:t>
            </w:r>
          </w:p>
        </w:tc>
      </w:tr>
    </w:tbl>
    <w:p w14:paraId="5F80FC82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7263F90A" w14:textId="4CE22E8A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The requisite KYC forms are available on the website of the Company at </w:t>
      </w:r>
      <w:hyperlink r:id="rId7" w:history="1">
        <w:r w:rsidR="007B1769" w:rsidRPr="00841D69">
          <w:rPr>
            <w:rStyle w:val="Hyperlink"/>
            <w:rFonts w:ascii="Arial" w:hAnsi="Arial" w:cs="Arial"/>
          </w:rPr>
          <w:t>https://tirupatifoam.com/physical-holders-kyc/</w:t>
        </w:r>
      </w:hyperlink>
      <w:r w:rsidR="00D71E0C">
        <w:rPr>
          <w:rFonts w:ascii="Arial" w:hAnsi="Arial" w:cs="Arial"/>
        </w:rPr>
        <w:t xml:space="preserve"> </w:t>
      </w:r>
      <w:r w:rsidRPr="005D13CB">
        <w:rPr>
          <w:rFonts w:ascii="Arial" w:hAnsi="Arial" w:cs="Arial"/>
          <w:lang w:val="en-US"/>
        </w:rPr>
        <w:t xml:space="preserve">and on the website of the Company’s RTA at </w:t>
      </w:r>
      <w:hyperlink r:id="rId8" w:history="1">
        <w:r w:rsidRPr="005D13CB">
          <w:rPr>
            <w:rStyle w:val="Hyperlink"/>
            <w:rFonts w:ascii="Arial" w:hAnsi="Arial" w:cs="Arial"/>
            <w:bCs/>
            <w:lang w:val="en-US"/>
          </w:rPr>
          <w:t>https://web.in.mpms.mufg.com/KYC-downloads.html</w:t>
        </w:r>
      </w:hyperlink>
      <w:r w:rsidRPr="005D13CB">
        <w:rPr>
          <w:rFonts w:ascii="Arial" w:hAnsi="Arial" w:cs="Arial"/>
          <w:b/>
          <w:bCs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>and also refer SEBI</w:t>
      </w:r>
      <w:r w:rsidR="005B6033">
        <w:rPr>
          <w:rFonts w:ascii="Arial" w:hAnsi="Arial" w:cs="Arial"/>
          <w:lang w:val="en-US"/>
        </w:rPr>
        <w:t>’s</w:t>
      </w:r>
      <w:r w:rsidRPr="005D13CB">
        <w:rPr>
          <w:rFonts w:ascii="Arial" w:hAnsi="Arial" w:cs="Arial"/>
          <w:lang w:val="en-US"/>
        </w:rPr>
        <w:t xml:space="preserve"> Master Circular no. </w:t>
      </w:r>
      <w:r w:rsidR="007F4005" w:rsidRPr="007F4005">
        <w:rPr>
          <w:rFonts w:ascii="Arial" w:hAnsi="Arial" w:cs="Arial"/>
          <w:lang w:val="en-US"/>
        </w:rPr>
        <w:t>HO/38/13/(4)2026-MIRSD-POD/I/4298/2026</w:t>
      </w:r>
      <w:r w:rsidR="002E0107" w:rsidRPr="005D13CB">
        <w:rPr>
          <w:rFonts w:ascii="Arial" w:hAnsi="Arial" w:cs="Arial"/>
          <w:lang w:val="en-US"/>
        </w:rPr>
        <w:t xml:space="preserve"> dated </w:t>
      </w:r>
      <w:r w:rsidR="004335D3" w:rsidRPr="004335D3">
        <w:rPr>
          <w:rFonts w:ascii="Arial" w:hAnsi="Arial" w:cs="Arial"/>
          <w:lang w:val="en-US"/>
        </w:rPr>
        <w:t>February 06, 2026</w:t>
      </w:r>
      <w:r w:rsidRPr="005D13CB">
        <w:rPr>
          <w:rFonts w:ascii="Arial" w:hAnsi="Arial" w:cs="Arial"/>
          <w:lang w:val="en-US"/>
        </w:rPr>
        <w:t xml:space="preserve">. </w:t>
      </w:r>
    </w:p>
    <w:p w14:paraId="0055F178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7C1D2D61" w14:textId="6934D361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Any payment of unclaimed dividends in respect of such </w:t>
      </w:r>
      <w:r w:rsidR="00617C8A" w:rsidRPr="005D13CB">
        <w:rPr>
          <w:rFonts w:ascii="Arial" w:hAnsi="Arial" w:cs="Arial"/>
          <w:lang w:val="en-US"/>
        </w:rPr>
        <w:t>Folio</w:t>
      </w:r>
      <w:r w:rsidRPr="005D13CB">
        <w:rPr>
          <w:rFonts w:ascii="Arial" w:hAnsi="Arial" w:cs="Arial"/>
          <w:lang w:val="en-US"/>
        </w:rPr>
        <w:t>(s)</w:t>
      </w:r>
      <w:r w:rsidR="00AB63A4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>/</w:t>
      </w:r>
      <w:r w:rsidR="00AB63A4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>DP ID</w:t>
      </w:r>
      <w:r w:rsidR="00AB63A4">
        <w:rPr>
          <w:rFonts w:ascii="Arial" w:hAnsi="Arial" w:cs="Arial"/>
          <w:lang w:val="en-US"/>
        </w:rPr>
        <w:t xml:space="preserve"> </w:t>
      </w:r>
      <w:r w:rsidR="00170028">
        <w:rPr>
          <w:rFonts w:ascii="Arial" w:hAnsi="Arial" w:cs="Arial"/>
          <w:lang w:val="en-US"/>
        </w:rPr>
        <w:t>/</w:t>
      </w:r>
      <w:r w:rsidR="00AB63A4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 xml:space="preserve">Client ID, will be </w:t>
      </w:r>
      <w:proofErr w:type="gramStart"/>
      <w:r w:rsidRPr="005D13CB">
        <w:rPr>
          <w:rFonts w:ascii="Arial" w:hAnsi="Arial" w:cs="Arial"/>
          <w:lang w:val="en-US"/>
        </w:rPr>
        <w:t>effected</w:t>
      </w:r>
      <w:proofErr w:type="gramEnd"/>
      <w:r w:rsidRPr="005D13CB">
        <w:rPr>
          <w:rFonts w:ascii="Arial" w:hAnsi="Arial" w:cs="Arial"/>
          <w:lang w:val="en-US"/>
        </w:rPr>
        <w:t xml:space="preserve"> through electronic mode, upon furnishing of all the aforesaid KYC details to the RTA of the Company and will also receive future dividends, if any, directly into your Bank </w:t>
      </w:r>
      <w:r w:rsidR="009220CD" w:rsidRPr="005D13CB">
        <w:rPr>
          <w:rFonts w:ascii="Arial" w:hAnsi="Arial" w:cs="Arial"/>
          <w:lang w:val="en-US"/>
        </w:rPr>
        <w:t>Account</w:t>
      </w:r>
      <w:r w:rsidRPr="005D13CB">
        <w:rPr>
          <w:rFonts w:ascii="Arial" w:hAnsi="Arial" w:cs="Arial"/>
          <w:lang w:val="en-US"/>
        </w:rPr>
        <w:t>.</w:t>
      </w:r>
    </w:p>
    <w:p w14:paraId="0662E990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730D37DC" w14:textId="77777777" w:rsidR="000C52C4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The Shareholders who have not claimed their dividends or have incomplete KYC records or facing any issues related to unclaimed dividends and shares are requested to contact the Company’s RTA </w:t>
      </w:r>
      <w:r w:rsidR="00DA54D1">
        <w:rPr>
          <w:rFonts w:ascii="Arial" w:hAnsi="Arial" w:cs="Arial"/>
          <w:lang w:val="en-US"/>
        </w:rPr>
        <w:t xml:space="preserve">i.e. </w:t>
      </w:r>
    </w:p>
    <w:p w14:paraId="6D1729CD" w14:textId="77777777" w:rsidR="000C52C4" w:rsidRPr="00BF4CF4" w:rsidRDefault="000C52C4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2CAB9177" w14:textId="66581DA3" w:rsidR="000C52C4" w:rsidRPr="00DC419C" w:rsidRDefault="005F36E7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>MUFG Intime India Private Limited</w:t>
      </w:r>
    </w:p>
    <w:p w14:paraId="6A39A687" w14:textId="5D75EEB3" w:rsidR="000C52C4" w:rsidRPr="00DC419C" w:rsidRDefault="005F36E7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>(</w:t>
      </w:r>
      <w:r w:rsidR="00DA54D1" w:rsidRPr="00DC419C">
        <w:rPr>
          <w:rFonts w:ascii="Arial" w:hAnsi="Arial" w:cs="Arial"/>
          <w:b/>
          <w:lang w:val="en-AU"/>
        </w:rPr>
        <w:t xml:space="preserve">Formerly </w:t>
      </w:r>
      <w:r w:rsidRPr="00DC419C">
        <w:rPr>
          <w:rFonts w:ascii="Arial" w:hAnsi="Arial" w:cs="Arial"/>
          <w:b/>
          <w:lang w:val="en-AU"/>
        </w:rPr>
        <w:t xml:space="preserve">Link Intime India </w:t>
      </w:r>
      <w:r w:rsidRPr="00DC419C">
        <w:rPr>
          <w:rFonts w:ascii="Arial" w:hAnsi="Arial" w:cs="Arial"/>
          <w:b/>
          <w:lang w:val="en-US"/>
        </w:rPr>
        <w:t>Private Limited</w:t>
      </w:r>
      <w:r w:rsidRPr="00DC419C">
        <w:rPr>
          <w:rFonts w:ascii="Arial" w:hAnsi="Arial" w:cs="Arial"/>
          <w:b/>
          <w:lang w:val="en-AU"/>
        </w:rPr>
        <w:t>)</w:t>
      </w:r>
      <w:r w:rsidRPr="00DC419C">
        <w:rPr>
          <w:rFonts w:ascii="Arial" w:hAnsi="Arial" w:cs="Arial"/>
          <w:b/>
          <w:lang w:val="en-US"/>
        </w:rPr>
        <w:t>,</w:t>
      </w:r>
    </w:p>
    <w:p w14:paraId="44C3B88B" w14:textId="27632AAB" w:rsidR="00AA09E2" w:rsidRPr="00DC419C" w:rsidRDefault="00AA09E2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 xml:space="preserve">(Unit: </w:t>
      </w:r>
      <w:r w:rsidR="007B1769">
        <w:rPr>
          <w:rFonts w:ascii="Arial" w:hAnsi="Arial" w:cs="Arial"/>
          <w:b/>
          <w:lang w:val="en-US"/>
        </w:rPr>
        <w:t>Tirupati Foam</w:t>
      </w:r>
      <w:r w:rsidRPr="00DC419C">
        <w:rPr>
          <w:rFonts w:ascii="Arial" w:hAnsi="Arial" w:cs="Arial"/>
          <w:b/>
          <w:lang w:val="en-US"/>
        </w:rPr>
        <w:t xml:space="preserve"> Limited)</w:t>
      </w:r>
    </w:p>
    <w:p w14:paraId="309782CB" w14:textId="105325DE" w:rsidR="000C52C4" w:rsidRPr="00DC419C" w:rsidRDefault="005F36E7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>5</w:t>
      </w:r>
      <w:r w:rsidRPr="00DC419C">
        <w:rPr>
          <w:rFonts w:ascii="Arial" w:hAnsi="Arial" w:cs="Arial"/>
          <w:b/>
          <w:vertAlign w:val="superscript"/>
          <w:lang w:val="en-US"/>
        </w:rPr>
        <w:t>th</w:t>
      </w:r>
      <w:r w:rsidRPr="00DC419C">
        <w:rPr>
          <w:rFonts w:ascii="Arial" w:hAnsi="Arial" w:cs="Arial"/>
          <w:b/>
          <w:lang w:val="en-US"/>
        </w:rPr>
        <w:t xml:space="preserve"> Floor, 506 to 508, Amarnath Business Centre</w:t>
      </w:r>
      <w:r w:rsidR="00DA54D1" w:rsidRPr="00DC419C">
        <w:rPr>
          <w:rFonts w:ascii="Arial" w:hAnsi="Arial" w:cs="Arial"/>
          <w:b/>
          <w:lang w:val="en-US"/>
        </w:rPr>
        <w:t xml:space="preserve"> - </w:t>
      </w:r>
      <w:r w:rsidRPr="00DC419C">
        <w:rPr>
          <w:rFonts w:ascii="Arial" w:hAnsi="Arial" w:cs="Arial"/>
          <w:b/>
          <w:lang w:val="en-US"/>
        </w:rPr>
        <w:t>1 (ABC-1),</w:t>
      </w:r>
    </w:p>
    <w:p w14:paraId="615CA4F6" w14:textId="60E06B25" w:rsidR="000C52C4" w:rsidRPr="00DC419C" w:rsidRDefault="005F36E7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>Beside Gala Business Centre, Near St. Xavier’s College Corner,</w:t>
      </w:r>
    </w:p>
    <w:p w14:paraId="1BC4D8A9" w14:textId="1C7B5ECF" w:rsidR="000C52C4" w:rsidRPr="00DC419C" w:rsidRDefault="005F36E7" w:rsidP="000C52C4">
      <w:pPr>
        <w:jc w:val="center"/>
        <w:rPr>
          <w:rFonts w:ascii="Arial" w:hAnsi="Arial" w:cs="Arial"/>
          <w:b/>
          <w:lang w:val="en-US"/>
        </w:rPr>
      </w:pPr>
      <w:r w:rsidRPr="00DC419C">
        <w:rPr>
          <w:rFonts w:ascii="Arial" w:hAnsi="Arial" w:cs="Arial"/>
          <w:b/>
          <w:lang w:val="en-US"/>
        </w:rPr>
        <w:t>Off C. G. Road, Ellisbridge, Ahmedabad</w:t>
      </w:r>
      <w:r w:rsidR="009830D2" w:rsidRPr="00DC419C">
        <w:rPr>
          <w:rFonts w:ascii="Arial" w:hAnsi="Arial" w:cs="Arial"/>
          <w:b/>
          <w:lang w:val="en-US"/>
        </w:rPr>
        <w:t xml:space="preserve"> - </w:t>
      </w:r>
      <w:r w:rsidRPr="00DC419C">
        <w:rPr>
          <w:rFonts w:ascii="Arial" w:hAnsi="Arial" w:cs="Arial"/>
          <w:b/>
          <w:lang w:val="en-US"/>
        </w:rPr>
        <w:t>380006, Gujarat, India</w:t>
      </w:r>
    </w:p>
    <w:p w14:paraId="30C19773" w14:textId="639FC7EB" w:rsidR="00807BBA" w:rsidRDefault="005F36E7" w:rsidP="000C52C4">
      <w:pPr>
        <w:jc w:val="center"/>
        <w:rPr>
          <w:rFonts w:ascii="Arial" w:hAnsi="Arial" w:cs="Arial"/>
          <w:lang w:val="en-US"/>
        </w:rPr>
      </w:pPr>
      <w:r w:rsidRPr="00DC419C">
        <w:rPr>
          <w:rFonts w:ascii="Arial" w:hAnsi="Arial" w:cs="Arial"/>
          <w:b/>
          <w:lang w:val="en-US"/>
        </w:rPr>
        <w:t xml:space="preserve">Tel </w:t>
      </w:r>
      <w:r w:rsidR="00807BBA" w:rsidRPr="00DC419C">
        <w:rPr>
          <w:rFonts w:ascii="Arial" w:hAnsi="Arial" w:cs="Arial"/>
          <w:b/>
          <w:lang w:val="en-US"/>
        </w:rPr>
        <w:t>No.</w:t>
      </w:r>
      <w:r w:rsidRPr="00DC419C">
        <w:rPr>
          <w:rFonts w:ascii="Arial" w:hAnsi="Arial" w:cs="Arial"/>
          <w:b/>
          <w:lang w:val="en-US"/>
        </w:rPr>
        <w:t xml:space="preserve">: 079 </w:t>
      </w:r>
      <w:r w:rsidR="006545EA" w:rsidRPr="00DC419C">
        <w:rPr>
          <w:rFonts w:ascii="Arial" w:hAnsi="Arial" w:cs="Arial"/>
          <w:b/>
          <w:lang w:val="en-US"/>
        </w:rPr>
        <w:t>–</w:t>
      </w:r>
      <w:r w:rsidRPr="00DC419C">
        <w:rPr>
          <w:rFonts w:ascii="Arial" w:hAnsi="Arial" w:cs="Arial"/>
          <w:b/>
          <w:lang w:val="en-US"/>
        </w:rPr>
        <w:t xml:space="preserve"> 26465179</w:t>
      </w:r>
      <w:r w:rsidR="006545EA" w:rsidRPr="00DC419C">
        <w:rPr>
          <w:rFonts w:ascii="Arial" w:hAnsi="Arial" w:cs="Arial"/>
          <w:b/>
          <w:lang w:val="en-US"/>
        </w:rPr>
        <w:t xml:space="preserve"> / 86 / 87</w:t>
      </w:r>
      <w:r w:rsidRPr="00DC419C">
        <w:rPr>
          <w:rFonts w:ascii="Arial" w:hAnsi="Arial" w:cs="Arial"/>
          <w:b/>
          <w:lang w:val="en-US"/>
        </w:rPr>
        <w:t>, Email</w:t>
      </w:r>
      <w:r w:rsidR="009830D2" w:rsidRPr="00DC419C">
        <w:rPr>
          <w:rFonts w:ascii="Arial" w:hAnsi="Arial" w:cs="Arial"/>
          <w:b/>
          <w:lang w:val="en-US"/>
        </w:rPr>
        <w:t xml:space="preserve"> ID</w:t>
      </w:r>
      <w:r w:rsidRPr="00DC419C">
        <w:rPr>
          <w:rFonts w:ascii="Arial" w:hAnsi="Arial" w:cs="Arial"/>
          <w:b/>
          <w:lang w:val="en-US"/>
        </w:rPr>
        <w:t xml:space="preserve">: </w:t>
      </w:r>
      <w:hyperlink r:id="rId9" w:history="1">
        <w:r w:rsidR="0093121E" w:rsidRPr="00DC419C">
          <w:rPr>
            <w:rStyle w:val="Hyperlink"/>
            <w:rFonts w:ascii="Arial" w:hAnsi="Arial" w:cs="Arial"/>
            <w:b/>
          </w:rPr>
          <w:t>investor.helpdesk@in.mpms.mufg.com</w:t>
        </w:r>
      </w:hyperlink>
    </w:p>
    <w:p w14:paraId="34EBFEBD" w14:textId="77777777" w:rsidR="001A0717" w:rsidRPr="00BF4CF4" w:rsidRDefault="001A071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14481E15" w14:textId="692646AB" w:rsidR="005F36E7" w:rsidRPr="005D13CB" w:rsidRDefault="00E91617" w:rsidP="005F36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>The Shareholders may raise all their queries or ser</w:t>
      </w:r>
      <w:r w:rsidR="00B06D9E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ice requests through the </w:t>
      </w:r>
      <w:r w:rsidR="00B06D9E">
        <w:rPr>
          <w:rFonts w:ascii="Arial" w:hAnsi="Arial" w:cs="Arial"/>
          <w:bCs/>
        </w:rPr>
        <w:t>web</w:t>
      </w:r>
      <w:r w:rsidR="00222C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link: </w:t>
      </w:r>
      <w:hyperlink r:id="rId10" w:history="1">
        <w:r>
          <w:rPr>
            <w:rStyle w:val="Hyperlink"/>
            <w:rFonts w:ascii="Arial" w:hAnsi="Arial" w:cs="Arial"/>
            <w:bCs/>
          </w:rPr>
          <w:t>https://web.in.mpms.mufg.com/helpdesk/Service_Request.html</w:t>
        </w:r>
      </w:hyperlink>
      <w:r w:rsidR="0016294B">
        <w:t xml:space="preserve">. </w:t>
      </w:r>
      <w:r w:rsidR="005F36E7" w:rsidRPr="005D13CB">
        <w:rPr>
          <w:rFonts w:ascii="Arial" w:hAnsi="Arial" w:cs="Arial"/>
          <w:lang w:val="en-US"/>
        </w:rPr>
        <w:t xml:space="preserve">Additionally, </w:t>
      </w:r>
      <w:r w:rsidR="00B06D9E">
        <w:rPr>
          <w:rFonts w:ascii="Arial" w:hAnsi="Arial" w:cs="Arial"/>
          <w:lang w:val="en-US"/>
        </w:rPr>
        <w:t xml:space="preserve">the </w:t>
      </w:r>
      <w:r w:rsidR="00B06D9E" w:rsidRPr="005D13CB">
        <w:rPr>
          <w:rFonts w:ascii="Arial" w:hAnsi="Arial" w:cs="Arial"/>
          <w:lang w:val="en-US"/>
        </w:rPr>
        <w:t xml:space="preserve">Shareholders </w:t>
      </w:r>
      <w:r w:rsidR="005F36E7" w:rsidRPr="005D13CB">
        <w:rPr>
          <w:rFonts w:ascii="Arial" w:hAnsi="Arial" w:cs="Arial"/>
          <w:lang w:val="en-US"/>
        </w:rPr>
        <w:t xml:space="preserve">are encouraged to register and track their requests through the </w:t>
      </w:r>
      <w:r w:rsidR="00A04407" w:rsidRPr="00A04407">
        <w:rPr>
          <w:rFonts w:ascii="Arial" w:hAnsi="Arial" w:cs="Arial"/>
          <w:b/>
          <w:lang w:val="en-US"/>
        </w:rPr>
        <w:t>“</w:t>
      </w:r>
      <w:r w:rsidR="005F36E7" w:rsidRPr="00A04407">
        <w:rPr>
          <w:rFonts w:ascii="Arial" w:hAnsi="Arial" w:cs="Arial"/>
          <w:b/>
          <w:lang w:val="en-US"/>
        </w:rPr>
        <w:t>SWAYAM</w:t>
      </w:r>
      <w:r w:rsidR="00A04407" w:rsidRPr="00A04407">
        <w:rPr>
          <w:rFonts w:ascii="Arial" w:hAnsi="Arial" w:cs="Arial"/>
          <w:b/>
          <w:lang w:val="en-US"/>
        </w:rPr>
        <w:t>”</w:t>
      </w:r>
      <w:r w:rsidR="005F36E7" w:rsidRPr="005D13CB">
        <w:rPr>
          <w:rFonts w:ascii="Arial" w:hAnsi="Arial" w:cs="Arial"/>
          <w:lang w:val="en-US"/>
        </w:rPr>
        <w:t xml:space="preserve"> portal: </w:t>
      </w:r>
      <w:hyperlink r:id="rId11" w:history="1">
        <w:r w:rsidR="005F36E7" w:rsidRPr="005D13CB">
          <w:rPr>
            <w:rStyle w:val="Hyperlink"/>
            <w:rFonts w:ascii="Arial" w:hAnsi="Arial" w:cs="Arial"/>
            <w:bCs/>
            <w:lang w:val="en-US"/>
          </w:rPr>
          <w:t>https://swayam.in.mpms.mufg.com</w:t>
        </w:r>
      </w:hyperlink>
      <w:r w:rsidR="005F36E7" w:rsidRPr="005D13CB">
        <w:rPr>
          <w:rStyle w:val="Hyperlink"/>
          <w:rFonts w:ascii="Arial" w:hAnsi="Arial" w:cs="Arial"/>
          <w:bCs/>
          <w:color w:val="auto"/>
          <w:u w:val="none"/>
        </w:rPr>
        <w:t>.</w:t>
      </w:r>
    </w:p>
    <w:p w14:paraId="2DB6B704" w14:textId="77777777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33E9EBB0" w14:textId="5728B21E" w:rsidR="003D3025" w:rsidRPr="005D13CB" w:rsidRDefault="005F36E7" w:rsidP="003D3025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>Kindly note that if dividend remains unpaid</w:t>
      </w:r>
      <w:r w:rsidR="00A80119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>/</w:t>
      </w:r>
      <w:r w:rsidR="00A80119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 xml:space="preserve">unclaimed for 7 consecutive years or more, the </w:t>
      </w:r>
      <w:r w:rsidR="00A80119" w:rsidRPr="005D13CB">
        <w:rPr>
          <w:rFonts w:ascii="Arial" w:hAnsi="Arial" w:cs="Arial"/>
          <w:lang w:val="en-US"/>
        </w:rPr>
        <w:t xml:space="preserve">Equity Shares </w:t>
      </w:r>
      <w:r w:rsidRPr="005D13CB">
        <w:rPr>
          <w:rFonts w:ascii="Arial" w:hAnsi="Arial" w:cs="Arial"/>
          <w:lang w:val="en-US"/>
        </w:rPr>
        <w:t xml:space="preserve">in respect of which dividend has not been paid or claimed by you will be transferred to </w:t>
      </w:r>
      <w:r w:rsidR="00A80119">
        <w:rPr>
          <w:rFonts w:ascii="Arial" w:hAnsi="Arial" w:cs="Arial"/>
          <w:lang w:val="en-US"/>
        </w:rPr>
        <w:t xml:space="preserve">the </w:t>
      </w:r>
      <w:r w:rsidRPr="005D13CB">
        <w:rPr>
          <w:rFonts w:ascii="Arial" w:hAnsi="Arial" w:cs="Arial"/>
          <w:lang w:val="en-US"/>
        </w:rPr>
        <w:t xml:space="preserve">IEPF in accordance with the aforesaid provisions of the Act and you can claim the said </w:t>
      </w:r>
      <w:r w:rsidR="00A80119" w:rsidRPr="005D13CB">
        <w:rPr>
          <w:rFonts w:ascii="Arial" w:hAnsi="Arial" w:cs="Arial"/>
          <w:lang w:val="en-US"/>
        </w:rPr>
        <w:t xml:space="preserve">Equity Shares </w:t>
      </w:r>
      <w:r w:rsidRPr="005D13CB">
        <w:rPr>
          <w:rFonts w:ascii="Arial" w:hAnsi="Arial" w:cs="Arial"/>
          <w:lang w:val="en-US"/>
        </w:rPr>
        <w:t xml:space="preserve">from </w:t>
      </w:r>
      <w:r w:rsidR="00CF5B7A">
        <w:rPr>
          <w:rFonts w:ascii="Arial" w:hAnsi="Arial" w:cs="Arial"/>
          <w:lang w:val="en-US"/>
        </w:rPr>
        <w:t xml:space="preserve">the </w:t>
      </w:r>
      <w:r w:rsidRPr="005D13CB">
        <w:rPr>
          <w:rFonts w:ascii="Arial" w:hAnsi="Arial" w:cs="Arial"/>
          <w:lang w:val="en-US"/>
        </w:rPr>
        <w:t>IEPF Authority, by filing e-</w:t>
      </w:r>
      <w:r w:rsidR="007E41EF" w:rsidRPr="005D13CB">
        <w:rPr>
          <w:rFonts w:ascii="Arial" w:hAnsi="Arial" w:cs="Arial"/>
          <w:lang w:val="en-US"/>
        </w:rPr>
        <w:t xml:space="preserve">Form </w:t>
      </w:r>
      <w:r w:rsidRPr="005D13CB">
        <w:rPr>
          <w:rFonts w:ascii="Arial" w:hAnsi="Arial" w:cs="Arial"/>
          <w:lang w:val="en-US"/>
        </w:rPr>
        <w:t>IEPF-5, as prescribed under the Rules</w:t>
      </w:r>
      <w:r w:rsidR="003D3025">
        <w:rPr>
          <w:rFonts w:ascii="Arial" w:hAnsi="Arial" w:cs="Arial"/>
          <w:lang w:val="en-US"/>
        </w:rPr>
        <w:t>, however, which is long drawn and complex process</w:t>
      </w:r>
      <w:r w:rsidR="003D3025" w:rsidRPr="005D13CB">
        <w:rPr>
          <w:rFonts w:ascii="Arial" w:hAnsi="Arial" w:cs="Arial"/>
          <w:lang w:val="en-US"/>
        </w:rPr>
        <w:t>.</w:t>
      </w:r>
    </w:p>
    <w:p w14:paraId="3BD7DBE2" w14:textId="69F33F6E" w:rsidR="005F36E7" w:rsidRPr="00BF4CF4" w:rsidRDefault="005F36E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631B393A" w14:textId="4F45FEEA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 xml:space="preserve">The </w:t>
      </w:r>
      <w:r w:rsidR="007F6145" w:rsidRPr="005D13CB">
        <w:rPr>
          <w:rFonts w:ascii="Arial" w:hAnsi="Arial" w:cs="Arial"/>
          <w:lang w:val="en-US"/>
        </w:rPr>
        <w:t xml:space="preserve">Shareholders </w:t>
      </w:r>
      <w:r w:rsidRPr="005D13CB">
        <w:rPr>
          <w:rFonts w:ascii="Arial" w:hAnsi="Arial" w:cs="Arial"/>
          <w:lang w:val="en-US"/>
        </w:rPr>
        <w:t xml:space="preserve">are requested to note that this campaign has been </w:t>
      </w:r>
      <w:r w:rsidR="0095638D">
        <w:rPr>
          <w:rFonts w:ascii="Arial" w:hAnsi="Arial" w:cs="Arial"/>
          <w:lang w:val="en-US"/>
        </w:rPr>
        <w:t xml:space="preserve">again </w:t>
      </w:r>
      <w:r w:rsidRPr="005D13CB">
        <w:rPr>
          <w:rFonts w:ascii="Arial" w:hAnsi="Arial" w:cs="Arial"/>
          <w:lang w:val="en-US"/>
        </w:rPr>
        <w:t xml:space="preserve">started proactively and specifically to reach out to the </w:t>
      </w:r>
      <w:r w:rsidR="007760FA" w:rsidRPr="005D13CB">
        <w:rPr>
          <w:rFonts w:ascii="Arial" w:hAnsi="Arial" w:cs="Arial"/>
          <w:lang w:val="en-US"/>
        </w:rPr>
        <w:t xml:space="preserve">Shareholders </w:t>
      </w:r>
      <w:r w:rsidRPr="005D13CB">
        <w:rPr>
          <w:rFonts w:ascii="Arial" w:hAnsi="Arial" w:cs="Arial"/>
          <w:lang w:val="en-US"/>
        </w:rPr>
        <w:t xml:space="preserve">to update their KYC, </w:t>
      </w:r>
      <w:r w:rsidR="00814B98" w:rsidRPr="005D13CB">
        <w:rPr>
          <w:rFonts w:ascii="Arial" w:hAnsi="Arial" w:cs="Arial"/>
          <w:lang w:val="en-US"/>
        </w:rPr>
        <w:t>Bank Mandate</w:t>
      </w:r>
      <w:r w:rsidRPr="005D13CB">
        <w:rPr>
          <w:rFonts w:ascii="Arial" w:hAnsi="Arial" w:cs="Arial"/>
          <w:lang w:val="en-US"/>
        </w:rPr>
        <w:t xml:space="preserve">, Nomination and </w:t>
      </w:r>
      <w:r w:rsidR="00814B98" w:rsidRPr="005D13CB">
        <w:rPr>
          <w:rFonts w:ascii="Arial" w:hAnsi="Arial" w:cs="Arial"/>
          <w:lang w:val="en-US"/>
        </w:rPr>
        <w:t>Contact Information</w:t>
      </w:r>
      <w:r w:rsidRPr="005D13CB">
        <w:rPr>
          <w:rFonts w:ascii="Arial" w:hAnsi="Arial" w:cs="Arial"/>
          <w:lang w:val="en-US"/>
        </w:rPr>
        <w:t xml:space="preserve">. The </w:t>
      </w:r>
      <w:r w:rsidR="00814B98" w:rsidRPr="005D13CB">
        <w:rPr>
          <w:rFonts w:ascii="Arial" w:hAnsi="Arial" w:cs="Arial"/>
          <w:lang w:val="en-US"/>
        </w:rPr>
        <w:t xml:space="preserve">Shareholders </w:t>
      </w:r>
      <w:r w:rsidRPr="005D13CB">
        <w:rPr>
          <w:rFonts w:ascii="Arial" w:hAnsi="Arial" w:cs="Arial"/>
          <w:lang w:val="en-US"/>
        </w:rPr>
        <w:t>are requested to also claim their unpaid</w:t>
      </w:r>
      <w:r w:rsidR="009F0153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>/</w:t>
      </w:r>
      <w:r w:rsidR="009F0153">
        <w:rPr>
          <w:rFonts w:ascii="Arial" w:hAnsi="Arial" w:cs="Arial"/>
          <w:lang w:val="en-US"/>
        </w:rPr>
        <w:t xml:space="preserve"> </w:t>
      </w:r>
      <w:r w:rsidRPr="005D13CB">
        <w:rPr>
          <w:rFonts w:ascii="Arial" w:hAnsi="Arial" w:cs="Arial"/>
          <w:lang w:val="en-US"/>
        </w:rPr>
        <w:t xml:space="preserve">unclaimed dividend in order to prevent their </w:t>
      </w:r>
      <w:r w:rsidR="00814B98" w:rsidRPr="005D13CB">
        <w:rPr>
          <w:rFonts w:ascii="Arial" w:hAnsi="Arial" w:cs="Arial"/>
          <w:lang w:val="en-US"/>
        </w:rPr>
        <w:t xml:space="preserve">Shares </w:t>
      </w:r>
      <w:r w:rsidRPr="005D13CB">
        <w:rPr>
          <w:rFonts w:ascii="Arial" w:hAnsi="Arial" w:cs="Arial"/>
          <w:lang w:val="en-US"/>
        </w:rPr>
        <w:t xml:space="preserve">from being transferred to </w:t>
      </w:r>
      <w:r w:rsidR="00814B98">
        <w:rPr>
          <w:rFonts w:ascii="Arial" w:hAnsi="Arial" w:cs="Arial"/>
          <w:lang w:val="en-US"/>
        </w:rPr>
        <w:t xml:space="preserve">the </w:t>
      </w:r>
      <w:r w:rsidRPr="005D13CB">
        <w:rPr>
          <w:rFonts w:ascii="Arial" w:hAnsi="Arial" w:cs="Arial"/>
          <w:lang w:val="en-US"/>
        </w:rPr>
        <w:t>IEPF Authority.</w:t>
      </w:r>
    </w:p>
    <w:p w14:paraId="33D54EAE" w14:textId="77777777" w:rsidR="00957547" w:rsidRPr="00BF4CF4" w:rsidRDefault="00957547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18187B1C" w14:textId="77777777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>Thanking you,</w:t>
      </w:r>
    </w:p>
    <w:p w14:paraId="03B244C6" w14:textId="77777777" w:rsidR="00BF4CF4" w:rsidRPr="00BF4CF4" w:rsidRDefault="00BF4CF4" w:rsidP="005F36E7">
      <w:pPr>
        <w:jc w:val="both"/>
        <w:rPr>
          <w:rFonts w:ascii="Arial" w:hAnsi="Arial" w:cs="Arial"/>
          <w:sz w:val="14"/>
          <w:szCs w:val="14"/>
          <w:lang w:val="en-US"/>
        </w:rPr>
      </w:pPr>
    </w:p>
    <w:p w14:paraId="34CA3BED" w14:textId="787E9DD6" w:rsidR="005F36E7" w:rsidRPr="005D13CB" w:rsidRDefault="005F36E7" w:rsidP="005F36E7">
      <w:pPr>
        <w:jc w:val="both"/>
        <w:rPr>
          <w:rFonts w:ascii="Arial" w:hAnsi="Arial" w:cs="Arial"/>
          <w:lang w:val="en-US"/>
        </w:rPr>
      </w:pPr>
      <w:r w:rsidRPr="005D13CB">
        <w:rPr>
          <w:rFonts w:ascii="Arial" w:hAnsi="Arial" w:cs="Arial"/>
          <w:lang w:val="en-US"/>
        </w:rPr>
        <w:t>Yours faithfully,</w:t>
      </w:r>
    </w:p>
    <w:p w14:paraId="693E701C" w14:textId="77777777" w:rsidR="007B1769" w:rsidRDefault="007B1769" w:rsidP="007B1769">
      <w:pPr>
        <w:pStyle w:val="NormalWeb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TIRUPATI FOAM LIMITED</w:t>
      </w:r>
    </w:p>
    <w:p w14:paraId="1B5FD38A" w14:textId="77777777" w:rsidR="007B1769" w:rsidRDefault="007B1769" w:rsidP="007B1769">
      <w:pPr>
        <w:pStyle w:val="NormalWeb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46432827" w14:textId="77777777" w:rsidR="007B1769" w:rsidRDefault="007B1769" w:rsidP="007B1769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Sd/-</w:t>
      </w:r>
    </w:p>
    <w:p w14:paraId="196843E6" w14:textId="77777777" w:rsidR="007B1769" w:rsidRDefault="007B1769" w:rsidP="007B1769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019F54" w14:textId="77777777" w:rsidR="007B1769" w:rsidRDefault="007B1769" w:rsidP="007B1769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AKSHABANU M MEMON</w:t>
      </w:r>
    </w:p>
    <w:p w14:paraId="694A2C02" w14:textId="77777777" w:rsidR="007B1769" w:rsidRDefault="007B1769" w:rsidP="007B176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COMPANY SECRETARY, COMPLIANCE &amp; NODAL OFFICER</w:t>
      </w:r>
      <w:r w:rsidRPr="005D13CB">
        <w:rPr>
          <w:rFonts w:ascii="Arial" w:hAnsi="Arial" w:cs="Arial"/>
          <w:b/>
          <w:lang w:val="en-US"/>
        </w:rPr>
        <w:t xml:space="preserve"> </w:t>
      </w:r>
    </w:p>
    <w:p w14:paraId="765B099B" w14:textId="77777777" w:rsidR="00783528" w:rsidRPr="00C97964" w:rsidRDefault="00783528" w:rsidP="00554EBD">
      <w:pPr>
        <w:rPr>
          <w:rFonts w:ascii="Arial" w:hAnsi="Arial" w:cs="Arial"/>
          <w:b/>
          <w:sz w:val="14"/>
          <w:szCs w:val="14"/>
          <w:lang w:val="en-US"/>
        </w:rPr>
      </w:pPr>
    </w:p>
    <w:p w14:paraId="66098F11" w14:textId="553B2E74" w:rsidR="00FD3E62" w:rsidRPr="00832C4C" w:rsidRDefault="00FD3E62" w:rsidP="00554EBD">
      <w:pPr>
        <w:rPr>
          <w:rFonts w:ascii="Arial" w:hAnsi="Arial" w:cs="Arial"/>
          <w:b/>
          <w:i/>
        </w:rPr>
      </w:pPr>
      <w:r w:rsidRPr="00832C4C">
        <w:rPr>
          <w:rFonts w:ascii="Arial" w:hAnsi="Arial" w:cs="Arial"/>
          <w:b/>
          <w:i/>
        </w:rPr>
        <w:t>Note: This is computer generated letter &amp; does not require signature.</w:t>
      </w:r>
    </w:p>
    <w:sectPr w:rsidR="00FD3E62" w:rsidRPr="00832C4C" w:rsidSect="00677029">
      <w:pgSz w:w="11906" w:h="16838"/>
      <w:pgMar w:top="42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D3A7" w14:textId="77777777" w:rsidR="005E4D1C" w:rsidRDefault="005E4D1C" w:rsidP="005F36E7">
      <w:r>
        <w:separator/>
      </w:r>
    </w:p>
  </w:endnote>
  <w:endnote w:type="continuationSeparator" w:id="0">
    <w:p w14:paraId="02AD46C0" w14:textId="77777777" w:rsidR="005E4D1C" w:rsidRDefault="005E4D1C" w:rsidP="005F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2984" w14:textId="77777777" w:rsidR="005E4D1C" w:rsidRDefault="005E4D1C" w:rsidP="005F36E7">
      <w:r>
        <w:separator/>
      </w:r>
    </w:p>
  </w:footnote>
  <w:footnote w:type="continuationSeparator" w:id="0">
    <w:p w14:paraId="0042AF6A" w14:textId="77777777" w:rsidR="005E4D1C" w:rsidRDefault="005E4D1C" w:rsidP="005F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E7"/>
    <w:rsid w:val="00013467"/>
    <w:rsid w:val="00036CA9"/>
    <w:rsid w:val="000457BD"/>
    <w:rsid w:val="00070BEA"/>
    <w:rsid w:val="00081535"/>
    <w:rsid w:val="000A3D6B"/>
    <w:rsid w:val="000A5180"/>
    <w:rsid w:val="000C074D"/>
    <w:rsid w:val="000C52C4"/>
    <w:rsid w:val="00101140"/>
    <w:rsid w:val="00106350"/>
    <w:rsid w:val="00133A3B"/>
    <w:rsid w:val="001544FC"/>
    <w:rsid w:val="0016294B"/>
    <w:rsid w:val="00170028"/>
    <w:rsid w:val="00177468"/>
    <w:rsid w:val="00197D6A"/>
    <w:rsid w:val="001A0717"/>
    <w:rsid w:val="001A6A1A"/>
    <w:rsid w:val="001B7EBD"/>
    <w:rsid w:val="001D5093"/>
    <w:rsid w:val="00203460"/>
    <w:rsid w:val="00206924"/>
    <w:rsid w:val="00222C68"/>
    <w:rsid w:val="002305E8"/>
    <w:rsid w:val="002671E8"/>
    <w:rsid w:val="002735AF"/>
    <w:rsid w:val="002A7AFF"/>
    <w:rsid w:val="002E0107"/>
    <w:rsid w:val="002F4CAC"/>
    <w:rsid w:val="002F7E87"/>
    <w:rsid w:val="00321E63"/>
    <w:rsid w:val="00366AC3"/>
    <w:rsid w:val="0038696C"/>
    <w:rsid w:val="003B7378"/>
    <w:rsid w:val="003C0C6A"/>
    <w:rsid w:val="003D3025"/>
    <w:rsid w:val="003E51BF"/>
    <w:rsid w:val="003F1E3F"/>
    <w:rsid w:val="003F541F"/>
    <w:rsid w:val="0040639B"/>
    <w:rsid w:val="004335D3"/>
    <w:rsid w:val="00435B10"/>
    <w:rsid w:val="0044174B"/>
    <w:rsid w:val="0045417C"/>
    <w:rsid w:val="00456FD8"/>
    <w:rsid w:val="004B57E6"/>
    <w:rsid w:val="004B74FA"/>
    <w:rsid w:val="004F18E0"/>
    <w:rsid w:val="005028FD"/>
    <w:rsid w:val="00554EBD"/>
    <w:rsid w:val="00582E4C"/>
    <w:rsid w:val="00594E54"/>
    <w:rsid w:val="005B6033"/>
    <w:rsid w:val="005B7F01"/>
    <w:rsid w:val="005D13CB"/>
    <w:rsid w:val="005E4D1C"/>
    <w:rsid w:val="005F36E7"/>
    <w:rsid w:val="00617C8A"/>
    <w:rsid w:val="006259A3"/>
    <w:rsid w:val="006418C4"/>
    <w:rsid w:val="00650705"/>
    <w:rsid w:val="006526E6"/>
    <w:rsid w:val="006545EA"/>
    <w:rsid w:val="006701A7"/>
    <w:rsid w:val="00677029"/>
    <w:rsid w:val="006859AD"/>
    <w:rsid w:val="00685DCC"/>
    <w:rsid w:val="006A2006"/>
    <w:rsid w:val="006A59F9"/>
    <w:rsid w:val="006C0E2B"/>
    <w:rsid w:val="006F0024"/>
    <w:rsid w:val="006F39D8"/>
    <w:rsid w:val="00743963"/>
    <w:rsid w:val="007760FA"/>
    <w:rsid w:val="00783528"/>
    <w:rsid w:val="0078533A"/>
    <w:rsid w:val="007A44BE"/>
    <w:rsid w:val="007B1769"/>
    <w:rsid w:val="007B23DA"/>
    <w:rsid w:val="007D2B9D"/>
    <w:rsid w:val="007E41EF"/>
    <w:rsid w:val="007F4005"/>
    <w:rsid w:val="007F6145"/>
    <w:rsid w:val="00807BBA"/>
    <w:rsid w:val="00814B98"/>
    <w:rsid w:val="0083068B"/>
    <w:rsid w:val="00832C4C"/>
    <w:rsid w:val="00837CE6"/>
    <w:rsid w:val="008735F3"/>
    <w:rsid w:val="0089375E"/>
    <w:rsid w:val="008A53AF"/>
    <w:rsid w:val="008B19B8"/>
    <w:rsid w:val="008C3C4B"/>
    <w:rsid w:val="008E74A4"/>
    <w:rsid w:val="008E778D"/>
    <w:rsid w:val="00901EB9"/>
    <w:rsid w:val="009219C0"/>
    <w:rsid w:val="009220CD"/>
    <w:rsid w:val="00926319"/>
    <w:rsid w:val="0093121E"/>
    <w:rsid w:val="0095638D"/>
    <w:rsid w:val="00957547"/>
    <w:rsid w:val="009830D2"/>
    <w:rsid w:val="009A6D69"/>
    <w:rsid w:val="009C3F0E"/>
    <w:rsid w:val="009C7666"/>
    <w:rsid w:val="009E3FDA"/>
    <w:rsid w:val="009F0153"/>
    <w:rsid w:val="009F02B2"/>
    <w:rsid w:val="00A04407"/>
    <w:rsid w:val="00A15EEB"/>
    <w:rsid w:val="00A2725E"/>
    <w:rsid w:val="00A2780A"/>
    <w:rsid w:val="00A60059"/>
    <w:rsid w:val="00A80119"/>
    <w:rsid w:val="00A86AD8"/>
    <w:rsid w:val="00A94E36"/>
    <w:rsid w:val="00AA09E2"/>
    <w:rsid w:val="00AB63A4"/>
    <w:rsid w:val="00AC6B4E"/>
    <w:rsid w:val="00AC7E92"/>
    <w:rsid w:val="00AD1C06"/>
    <w:rsid w:val="00B02617"/>
    <w:rsid w:val="00B06D9E"/>
    <w:rsid w:val="00B07EB8"/>
    <w:rsid w:val="00B3526B"/>
    <w:rsid w:val="00B404BE"/>
    <w:rsid w:val="00B4068C"/>
    <w:rsid w:val="00B46540"/>
    <w:rsid w:val="00B50EA0"/>
    <w:rsid w:val="00B60306"/>
    <w:rsid w:val="00B76A97"/>
    <w:rsid w:val="00B902D7"/>
    <w:rsid w:val="00BB2C21"/>
    <w:rsid w:val="00BE30FF"/>
    <w:rsid w:val="00BE7793"/>
    <w:rsid w:val="00BF4CF4"/>
    <w:rsid w:val="00C12C56"/>
    <w:rsid w:val="00C267D5"/>
    <w:rsid w:val="00C556FE"/>
    <w:rsid w:val="00C630BB"/>
    <w:rsid w:val="00C87DBC"/>
    <w:rsid w:val="00C9197F"/>
    <w:rsid w:val="00C97964"/>
    <w:rsid w:val="00CE15F2"/>
    <w:rsid w:val="00CF5B7A"/>
    <w:rsid w:val="00D31462"/>
    <w:rsid w:val="00D71E0C"/>
    <w:rsid w:val="00D83639"/>
    <w:rsid w:val="00D87B6E"/>
    <w:rsid w:val="00D90487"/>
    <w:rsid w:val="00D90FF7"/>
    <w:rsid w:val="00D922D0"/>
    <w:rsid w:val="00D9425E"/>
    <w:rsid w:val="00D95CE9"/>
    <w:rsid w:val="00DA54D1"/>
    <w:rsid w:val="00DA64AF"/>
    <w:rsid w:val="00DC419C"/>
    <w:rsid w:val="00DD0740"/>
    <w:rsid w:val="00DD5A83"/>
    <w:rsid w:val="00DE01EB"/>
    <w:rsid w:val="00E236AA"/>
    <w:rsid w:val="00E3673B"/>
    <w:rsid w:val="00E41DDF"/>
    <w:rsid w:val="00E639E7"/>
    <w:rsid w:val="00E91617"/>
    <w:rsid w:val="00E95E03"/>
    <w:rsid w:val="00F05406"/>
    <w:rsid w:val="00F13453"/>
    <w:rsid w:val="00F21277"/>
    <w:rsid w:val="00F31298"/>
    <w:rsid w:val="00F61A98"/>
    <w:rsid w:val="00F65046"/>
    <w:rsid w:val="00F7312D"/>
    <w:rsid w:val="00FA2B63"/>
    <w:rsid w:val="00FD3E62"/>
    <w:rsid w:val="00FE5899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26043"/>
  <w15:docId w15:val="{875C418A-66F3-4D4B-8E6D-13C0799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E7"/>
    <w:pPr>
      <w:spacing w:after="0" w:line="240" w:lineRule="auto"/>
    </w:pPr>
    <w:rPr>
      <w:rFonts w:ascii="Calibri" w:hAnsi="Calibri" w:cs="Calibri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E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F36E7"/>
    <w:rPr>
      <w:rFonts w:ascii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F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3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6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5F3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6E7"/>
    <w:rPr>
      <w:rFonts w:ascii="Calibri" w:hAnsi="Calibri" w:cs="Calibri"/>
      <w:sz w:val="20"/>
      <w:szCs w:val="20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5F36E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E7"/>
    <w:rPr>
      <w:rFonts w:ascii="Segoe UI" w:hAnsi="Segoe UI" w:cs="Segoe UI"/>
      <w:sz w:val="18"/>
      <w:szCs w:val="1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F3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E7"/>
    <w:rPr>
      <w:rFonts w:ascii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F3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E7"/>
    <w:rPr>
      <w:rFonts w:ascii="Calibri" w:hAnsi="Calibri" w:cs="Calibri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6F39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B4E"/>
    <w:pPr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B4E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ivery.in.mpms.mufg.com/QMUPVESFY?id=25538=Ih8JVVACVARcGFQHBVNcWQZTUAJUUANUVABRVFsHUAkCVA8DVgIHAAYGBwZRVABXDAEfAl9bQkwAAF5SSl4DXCEKV0sPRwxESglCVldMBw5ZTVJUBwcBU1VSBgYABV8NVlEPGQpDFUcXXhgfVAcICEJUERocW1hMDxFdRBZZE18GTVoKDxgwejE0YXVjJD1eXVUfFQE=&amp;fl=CRdNFRENThgTAVUeWQxKDERcEE1fR1AFTAJfWhd/P3pMB1YSDFsOVgAXGVhEDwg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irupatifoam.com/investors_colum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delivery.in.mpms.mufg.com/QMUPVESFY?id=25538=Ih8JVVACVARcGFFRBVUFWARUV1cEUVMAVQcBU1pVVFhQBwtUVgBYVQBUVVQIBFJXBgYfAl9bQkwAAF5SSl4DXCEKV0sPRwxESglCVldMBw5ZTVJUBwcBU1VSBgYABV8NVlEPGQpDFUcXXhgfVAcICEJUERocW1hMDxFdRBZZE18GTVoKDxgwejE0YXVjJD1eXVUfFQE=&amp;fl=CRdNFRENThgXE1ZJUQ9KCFofDhNfQRgPFwdXGVtbCxY=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eb.in.mpms.mufg.com/helpdesk/Service_Reques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vestor.helpdesk@in.mpms.mu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Jain</dc:creator>
  <cp:keywords/>
  <dc:description/>
  <cp:lastModifiedBy>DELL</cp:lastModifiedBy>
  <cp:revision>202</cp:revision>
  <dcterms:created xsi:type="dcterms:W3CDTF">2025-08-26T13:02:00Z</dcterms:created>
  <dcterms:modified xsi:type="dcterms:W3CDTF">2026-05-14T13:23:00Z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b79a06-4645-465b-93fc-f1b97d546611_Enabled">
    <vt:lpwstr>true</vt:lpwstr>
  </property>
  <property fmtid="{D5CDD505-2E9C-101B-9397-08002B2CF9AE}" pid="3" name="MSIP_Label_2ab79a06-4645-465b-93fc-f1b97d546611_SetDate">
    <vt:lpwstr>2025-09-22T10:19:33Z</vt:lpwstr>
  </property>
  <property fmtid="{D5CDD505-2E9C-101B-9397-08002B2CF9AE}" pid="4" name="MSIP_Label_2ab79a06-4645-465b-93fc-f1b97d546611_Method">
    <vt:lpwstr>Privileged</vt:lpwstr>
  </property>
  <property fmtid="{D5CDD505-2E9C-101B-9397-08002B2CF9AE}" pid="5" name="MSIP_Label_2ab79a06-4645-465b-93fc-f1b97d546611_Name">
    <vt:lpwstr>Public</vt:lpwstr>
  </property>
  <property fmtid="{D5CDD505-2E9C-101B-9397-08002B2CF9AE}" pid="6" name="MSIP_Label_2ab79a06-4645-465b-93fc-f1b97d546611_SiteId">
    <vt:lpwstr>907d0a2e-55d5-4cf2-aaa9-2d46721db895</vt:lpwstr>
  </property>
  <property fmtid="{D5CDD505-2E9C-101B-9397-08002B2CF9AE}" pid="7" name="MSIP_Label_2ab79a06-4645-465b-93fc-f1b97d546611_ActionId">
    <vt:lpwstr>b5f6ad5f-5c36-4797-b397-436c9a433d63</vt:lpwstr>
  </property>
  <property fmtid="{D5CDD505-2E9C-101B-9397-08002B2CF9AE}" pid="8" name="MSIP_Label_2ab79a06-4645-465b-93fc-f1b97d546611_ContentBits">
    <vt:lpwstr>0</vt:lpwstr>
  </property>
  <property fmtid="{D5CDD505-2E9C-101B-9397-08002B2CF9AE}" pid="9" name="MSIP_Label_2ab79a06-4645-465b-93fc-f1b97d546611_Tag">
    <vt:lpwstr>10, 0, 1, 1</vt:lpwstr>
  </property>
</Properties>
</file>